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C352D" w14:textId="672377D2" w:rsidR="00DA7C1E" w:rsidRDefault="000A535C" w:rsidP="00814BE3">
      <w:pPr>
        <w:pStyle w:val="Title-1-brochure"/>
      </w:pPr>
      <w:r>
        <w:t>Charter</w:t>
      </w:r>
    </w:p>
    <w:p w14:paraId="03F37B2B" w14:textId="6CFC40CE" w:rsidR="000A535C" w:rsidRPr="002C32FE" w:rsidRDefault="000A535C" w:rsidP="00814BE3">
      <w:pPr>
        <w:pStyle w:val="Title-1-brochure"/>
      </w:pPr>
      <w:r>
        <w:t>Toegang van kmo’s tot overheidsopdrachten</w:t>
      </w:r>
    </w:p>
    <w:p w14:paraId="59B9F572" w14:textId="77777777" w:rsidR="00730BBD" w:rsidRDefault="00730BBD" w:rsidP="00DB0FA2">
      <w:pPr>
        <w:pStyle w:val="Title-2-brochure"/>
      </w:pPr>
    </w:p>
    <w:p w14:paraId="6EBFFA5E" w14:textId="77777777" w:rsidR="00730BBD" w:rsidRDefault="00730BBD" w:rsidP="00DB0FA2">
      <w:pPr>
        <w:pStyle w:val="Title-2-brochure"/>
      </w:pPr>
    </w:p>
    <w:p w14:paraId="2EF89CA7" w14:textId="77777777" w:rsidR="00730BBD" w:rsidRDefault="00730BBD" w:rsidP="00DB0FA2">
      <w:pPr>
        <w:pStyle w:val="Title-2-brochure"/>
      </w:pPr>
    </w:p>
    <w:p w14:paraId="63A17584" w14:textId="77777777" w:rsidR="00730BBD" w:rsidRDefault="00730BBD" w:rsidP="00DB0FA2">
      <w:pPr>
        <w:pStyle w:val="Title-2-brochure"/>
      </w:pPr>
    </w:p>
    <w:p w14:paraId="06597430" w14:textId="77777777" w:rsidR="00730BBD" w:rsidRDefault="00730BBD" w:rsidP="00DB0FA2">
      <w:pPr>
        <w:pStyle w:val="Title-2-brochure"/>
      </w:pPr>
    </w:p>
    <w:p w14:paraId="79DF56A2" w14:textId="77777777" w:rsidR="00730BBD" w:rsidRDefault="00730BBD" w:rsidP="00DB0FA2">
      <w:pPr>
        <w:pStyle w:val="Title-2-brochure"/>
      </w:pPr>
    </w:p>
    <w:p w14:paraId="392DC79A" w14:textId="77777777" w:rsidR="00730BBD" w:rsidRDefault="00730BBD" w:rsidP="00DB0FA2">
      <w:pPr>
        <w:pStyle w:val="Title-2-brochure"/>
      </w:pPr>
    </w:p>
    <w:p w14:paraId="72D59022" w14:textId="77777777" w:rsidR="00730BBD" w:rsidRDefault="00730BBD" w:rsidP="00DB0FA2">
      <w:pPr>
        <w:pStyle w:val="Title-2-brochure"/>
      </w:pPr>
    </w:p>
    <w:p w14:paraId="63D5D1AE" w14:textId="77777777" w:rsidR="00730BBD" w:rsidRDefault="00730BBD" w:rsidP="00DB0FA2">
      <w:pPr>
        <w:pStyle w:val="Title-2-brochure"/>
      </w:pPr>
    </w:p>
    <w:p w14:paraId="702F6C9F" w14:textId="77777777" w:rsidR="00730BBD" w:rsidRDefault="00730BBD" w:rsidP="00DB0FA2">
      <w:pPr>
        <w:pStyle w:val="Title-2-brochure"/>
      </w:pPr>
    </w:p>
    <w:p w14:paraId="16C8D75A" w14:textId="77777777" w:rsidR="00730BBD" w:rsidRDefault="00730BBD" w:rsidP="00DB0FA2">
      <w:pPr>
        <w:pStyle w:val="Title-2-brochure"/>
      </w:pPr>
    </w:p>
    <w:p w14:paraId="6A08C9D1" w14:textId="11FCB35D" w:rsidR="00730BBD" w:rsidRPr="00730BBD" w:rsidRDefault="006373F7" w:rsidP="00730BBD">
      <w:pPr>
        <w:pStyle w:val="Title-2-brochure"/>
      </w:pPr>
      <w:r>
        <w:t xml:space="preserve">November </w:t>
      </w:r>
      <w:r w:rsidR="00730BBD">
        <w:t>2023</w:t>
      </w:r>
    </w:p>
    <w:p w14:paraId="251C352F" w14:textId="77777777" w:rsidR="007C7790" w:rsidRPr="00EA1E4D" w:rsidRDefault="007C7790" w:rsidP="00DB0FA2"/>
    <w:p w14:paraId="251C3530" w14:textId="77777777" w:rsidR="007C7790" w:rsidRPr="00EA1E4D" w:rsidRDefault="007C7790" w:rsidP="00DB0FA2">
      <w:pPr>
        <w:sectPr w:rsidR="007C7790" w:rsidRPr="00EA1E4D" w:rsidSect="00FD65F4">
          <w:headerReference w:type="default" r:id="rId11"/>
          <w:footerReference w:type="default" r:id="rId12"/>
          <w:footerReference w:type="first" r:id="rId13"/>
          <w:pgSz w:w="11906" w:h="16838" w:code="9"/>
          <w:pgMar w:top="2552" w:right="1701" w:bottom="2552" w:left="1701" w:header="284" w:footer="851" w:gutter="0"/>
          <w:cols w:space="720"/>
          <w:vAlign w:val="center"/>
          <w:docGrid w:linePitch="360"/>
        </w:sectPr>
      </w:pPr>
    </w:p>
    <w:p w14:paraId="251C3531" w14:textId="77777777" w:rsidR="007C7790" w:rsidRPr="00EA1E4D" w:rsidRDefault="00D827A0" w:rsidP="00DB0FA2">
      <w:pPr>
        <w:pStyle w:val="NoParagraphStyle"/>
      </w:pPr>
      <w:r>
        <w:rPr>
          <w:noProof/>
          <w:lang w:val="fr-BE" w:eastAsia="fr-BE"/>
        </w:rPr>
        <w:lastRenderedPageBreak/>
        <w:drawing>
          <wp:inline distT="0" distB="0" distL="0" distR="0" wp14:anchorId="251C354F" wp14:editId="251C3550">
            <wp:extent cx="2429187" cy="9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N-new.emf"/>
                    <pic:cNvPicPr/>
                  </pic:nvPicPr>
                  <pic:blipFill>
                    <a:blip r:embed="rId14">
                      <a:extLst>
                        <a:ext uri="{28A0092B-C50C-407E-A947-70E740481C1C}">
                          <a14:useLocalDpi xmlns:a14="http://schemas.microsoft.com/office/drawing/2010/main" val="0"/>
                        </a:ext>
                      </a:extLst>
                    </a:blip>
                    <a:stretch>
                      <a:fillRect/>
                    </a:stretch>
                  </pic:blipFill>
                  <pic:spPr>
                    <a:xfrm>
                      <a:off x="0" y="0"/>
                      <a:ext cx="2429187" cy="972000"/>
                    </a:xfrm>
                    <a:prstGeom prst="rect">
                      <a:avLst/>
                    </a:prstGeom>
                  </pic:spPr>
                </pic:pic>
              </a:graphicData>
            </a:graphic>
          </wp:inline>
        </w:drawing>
      </w:r>
    </w:p>
    <w:p w14:paraId="251C3532" w14:textId="77777777" w:rsidR="00FD65F4" w:rsidRPr="00D827A0" w:rsidRDefault="00D827A0" w:rsidP="00DB0FA2">
      <w:pPr>
        <w:pStyle w:val="NoParagraphStyle"/>
        <w:rPr>
          <w:lang w:val="nl-BE"/>
        </w:rPr>
      </w:pPr>
      <w:r w:rsidRPr="00D827A0">
        <w:rPr>
          <w:lang w:val="nl-BE"/>
        </w:rPr>
        <w:t>Vooruitgangstraat</w:t>
      </w:r>
      <w:r w:rsidR="00DA7C1E" w:rsidRPr="00D827A0">
        <w:rPr>
          <w:lang w:val="nl-BE"/>
        </w:rPr>
        <w:t xml:space="preserve"> 50</w:t>
      </w:r>
    </w:p>
    <w:p w14:paraId="251C3533" w14:textId="77777777" w:rsidR="00DA7C1E" w:rsidRPr="00D827A0" w:rsidRDefault="00D827A0" w:rsidP="00DB0FA2">
      <w:pPr>
        <w:pStyle w:val="NoParagraphStyle"/>
        <w:rPr>
          <w:lang w:val="nl-BE"/>
        </w:rPr>
      </w:pPr>
      <w:r w:rsidRPr="00D827A0">
        <w:rPr>
          <w:lang w:val="nl-BE"/>
        </w:rPr>
        <w:t>1210 Brussel</w:t>
      </w:r>
    </w:p>
    <w:p w14:paraId="251C3534" w14:textId="77777777" w:rsidR="00DA7C1E" w:rsidRPr="00D827A0" w:rsidRDefault="00D827A0" w:rsidP="00DB0FA2">
      <w:pPr>
        <w:pStyle w:val="NoParagraphStyle"/>
        <w:rPr>
          <w:lang w:val="nl-BE"/>
        </w:rPr>
      </w:pPr>
      <w:proofErr w:type="spellStart"/>
      <w:r w:rsidRPr="00D827A0">
        <w:rPr>
          <w:lang w:val="nl-BE"/>
        </w:rPr>
        <w:t>Ondernemingsnr</w:t>
      </w:r>
      <w:proofErr w:type="spellEnd"/>
      <w:r w:rsidRPr="00D827A0">
        <w:rPr>
          <w:lang w:val="nl-BE"/>
        </w:rPr>
        <w:t>: 0314.595.348</w:t>
      </w:r>
    </w:p>
    <w:p w14:paraId="251C3535" w14:textId="77777777" w:rsidR="00101A04" w:rsidRPr="00D827A0" w:rsidRDefault="00101A04" w:rsidP="00DB0FA2">
      <w:pPr>
        <w:pStyle w:val="NoParagraphStyle"/>
        <w:rPr>
          <w:lang w:val="nl-BE"/>
        </w:rPr>
      </w:pPr>
    </w:p>
    <w:p w14:paraId="251C3536" w14:textId="77777777" w:rsidR="00DA7C1E" w:rsidRPr="00C6570D" w:rsidRDefault="00000000" w:rsidP="0069094F">
      <w:pPr>
        <w:pStyle w:val="NoParagraphStyle"/>
        <w:rPr>
          <w:lang w:val="nl-BE"/>
        </w:rPr>
      </w:pPr>
      <w:r>
        <w:pict w14:anchorId="251C3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3.5pt;visibility:visible">
            <v:imagedata r:id="rId15" o:title=""/>
          </v:shape>
        </w:pict>
      </w:r>
      <w:r w:rsidR="00D86EF8" w:rsidRPr="00C6570D">
        <w:rPr>
          <w:lang w:val="nl-BE"/>
        </w:rPr>
        <w:tab/>
      </w:r>
      <w:r w:rsidR="00DA7C1E" w:rsidRPr="00C6570D">
        <w:rPr>
          <w:lang w:val="nl-BE"/>
        </w:rPr>
        <w:t>0800 120 33 (</w:t>
      </w:r>
      <w:r w:rsidR="00D827A0" w:rsidRPr="00C6570D">
        <w:rPr>
          <w:lang w:val="nl-BE"/>
        </w:rPr>
        <w:t>gratis nummer</w:t>
      </w:r>
      <w:r w:rsidR="00DA7C1E" w:rsidRPr="00C6570D">
        <w:rPr>
          <w:lang w:val="nl-BE"/>
        </w:rPr>
        <w:t>)</w:t>
      </w:r>
    </w:p>
    <w:p w14:paraId="251C3537" w14:textId="77777777" w:rsidR="006B641C" w:rsidRPr="0069094F" w:rsidRDefault="00BD1014" w:rsidP="0069094F">
      <w:pPr>
        <w:pStyle w:val="NoParagraphStyle"/>
      </w:pPr>
      <w:r w:rsidRPr="0069094F">
        <w:rPr>
          <w:noProof/>
          <w:lang w:val="fr-BE" w:eastAsia="fr-BE"/>
        </w:rPr>
        <w:drawing>
          <wp:inline distT="0" distB="0" distL="0" distR="0" wp14:anchorId="251C3552" wp14:editId="251C3553">
            <wp:extent cx="327600" cy="21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8" w14:textId="77777777" w:rsidR="00DA7C1E" w:rsidRPr="0069094F" w:rsidRDefault="0016501E" w:rsidP="0069094F">
      <w:pPr>
        <w:pStyle w:val="NoParagraphStyle"/>
      </w:pPr>
      <w:r w:rsidRPr="0069094F">
        <w:rPr>
          <w:noProof/>
          <w:lang w:val="fr-BE" w:eastAsia="fr-BE"/>
        </w:rPr>
        <w:drawing>
          <wp:inline distT="0" distB="0" distL="0" distR="0" wp14:anchorId="251C3554" wp14:editId="251C3555">
            <wp:extent cx="325125" cy="172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emf"/>
                    <pic:cNvPicPr/>
                  </pic:nvPicPr>
                  <pic:blipFill>
                    <a:blip r:embed="rId17">
                      <a:extLst>
                        <a:ext uri="{28A0092B-C50C-407E-A947-70E740481C1C}">
                          <a14:useLocalDpi xmlns:a14="http://schemas.microsoft.com/office/drawing/2010/main" val="0"/>
                        </a:ext>
                      </a:extLst>
                    </a:blip>
                    <a:stretch>
                      <a:fillRect/>
                    </a:stretch>
                  </pic:blipFill>
                  <pic:spPr>
                    <a:xfrm>
                      <a:off x="0" y="0"/>
                      <a:ext cx="325125" cy="172200"/>
                    </a:xfrm>
                    <a:prstGeom prst="rect">
                      <a:avLst/>
                    </a:prstGeom>
                  </pic:spPr>
                </pic:pic>
              </a:graphicData>
            </a:graphic>
          </wp:inline>
        </w:drawing>
      </w:r>
      <w:r w:rsidR="00EB768C" w:rsidRPr="0069094F">
        <w:tab/>
      </w:r>
      <w:hyperlink r:id="rId18" w:history="1">
        <w:r w:rsidR="00D827A0" w:rsidRPr="0069094F">
          <w:rPr>
            <w:rStyle w:val="Hyperlink"/>
            <w:color w:val="000000"/>
            <w:u w:val="none"/>
          </w:rPr>
          <w:t>facebook.com/FODEconomie</w:t>
        </w:r>
      </w:hyperlink>
    </w:p>
    <w:p w14:paraId="251C3539" w14:textId="77777777" w:rsidR="006B641C" w:rsidRPr="0069094F" w:rsidRDefault="00BA5590" w:rsidP="0069094F">
      <w:pPr>
        <w:pStyle w:val="NoParagraphStyle"/>
      </w:pPr>
      <w:r w:rsidRPr="0069094F">
        <w:rPr>
          <w:noProof/>
          <w:lang w:val="fr-BE" w:eastAsia="fr-BE"/>
        </w:rPr>
        <w:drawing>
          <wp:inline distT="0" distB="0" distL="0" distR="0" wp14:anchorId="251C3556" wp14:editId="251C3557">
            <wp:extent cx="327600" cy="21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A" w14:textId="77777777" w:rsidR="00DA7C1E" w:rsidRPr="0069094F" w:rsidRDefault="0016501E" w:rsidP="0069094F">
      <w:pPr>
        <w:pStyle w:val="NoParagraphStyle"/>
      </w:pPr>
      <w:r w:rsidRPr="0069094F">
        <w:rPr>
          <w:noProof/>
          <w:lang w:val="fr-BE" w:eastAsia="fr-BE"/>
        </w:rPr>
        <w:drawing>
          <wp:inline distT="0" distB="0" distL="0" distR="0" wp14:anchorId="251C3558" wp14:editId="251C3559">
            <wp:extent cx="344250" cy="13393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witter.emf"/>
                    <pic:cNvPicPr/>
                  </pic:nvPicPr>
                  <pic:blipFill>
                    <a:blip r:embed="rId19">
                      <a:extLst>
                        <a:ext uri="{28A0092B-C50C-407E-A947-70E740481C1C}">
                          <a14:useLocalDpi xmlns:a14="http://schemas.microsoft.com/office/drawing/2010/main" val="0"/>
                        </a:ext>
                      </a:extLst>
                    </a:blip>
                    <a:stretch>
                      <a:fillRect/>
                    </a:stretch>
                  </pic:blipFill>
                  <pic:spPr>
                    <a:xfrm>
                      <a:off x="0" y="0"/>
                      <a:ext cx="344250" cy="133933"/>
                    </a:xfrm>
                    <a:prstGeom prst="rect">
                      <a:avLst/>
                    </a:prstGeom>
                  </pic:spPr>
                </pic:pic>
              </a:graphicData>
            </a:graphic>
          </wp:inline>
        </w:drawing>
      </w:r>
      <w:r w:rsidRPr="0069094F">
        <w:tab/>
      </w:r>
      <w:hyperlink r:id="rId20" w:history="1">
        <w:r w:rsidR="00D827A0" w:rsidRPr="0069094F">
          <w:rPr>
            <w:rStyle w:val="Hyperlink"/>
            <w:color w:val="000000"/>
            <w:u w:val="none"/>
          </w:rPr>
          <w:t>@FODEconomie</w:t>
        </w:r>
      </w:hyperlink>
    </w:p>
    <w:p w14:paraId="251C353B" w14:textId="77777777" w:rsidR="006B641C" w:rsidRPr="0069094F" w:rsidRDefault="00BA5590" w:rsidP="0069094F">
      <w:pPr>
        <w:pStyle w:val="NoParagraphStyle"/>
      </w:pPr>
      <w:r w:rsidRPr="0069094F">
        <w:rPr>
          <w:noProof/>
          <w:lang w:val="fr-BE" w:eastAsia="fr-BE"/>
        </w:rPr>
        <w:drawing>
          <wp:inline distT="0" distB="0" distL="0" distR="0" wp14:anchorId="251C355A" wp14:editId="251C355B">
            <wp:extent cx="327600" cy="21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C" w14:textId="3BE385EB" w:rsidR="00ED6A65" w:rsidRPr="00C6570D" w:rsidRDefault="0016501E" w:rsidP="0069094F">
      <w:pPr>
        <w:pStyle w:val="NoParagraphStyle"/>
        <w:rPr>
          <w:lang w:val="nl-BE"/>
        </w:rPr>
      </w:pPr>
      <w:r w:rsidRPr="0069094F">
        <w:rPr>
          <w:noProof/>
          <w:lang w:val="fr-BE" w:eastAsia="fr-BE"/>
        </w:rPr>
        <w:drawing>
          <wp:inline distT="0" distB="0" distL="0" distR="0" wp14:anchorId="251C355C" wp14:editId="251C355D">
            <wp:extent cx="325125" cy="1530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nkedin.emf"/>
                    <pic:cNvPicPr/>
                  </pic:nvPicPr>
                  <pic:blipFill>
                    <a:blip r:embed="rId21">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00EB768C" w:rsidRPr="00C6570D">
        <w:rPr>
          <w:lang w:val="nl-BE"/>
        </w:rPr>
        <w:tab/>
      </w:r>
      <w:r w:rsidR="00771698" w:rsidRPr="00771698">
        <w:rPr>
          <w:lang w:val="nl-BE"/>
        </w:rPr>
        <w:t>https://linkedin.com/company/fod-economie"</w:t>
      </w:r>
      <w:r w:rsidR="00ED6A65" w:rsidRPr="00C6570D">
        <w:rPr>
          <w:lang w:val="nl-BE"/>
        </w:rPr>
        <w:t xml:space="preserve"> (</w:t>
      </w:r>
      <w:r w:rsidR="00D827A0" w:rsidRPr="00C6570D">
        <w:rPr>
          <w:lang w:val="nl-BE"/>
        </w:rPr>
        <w:t>tweetalige pagina</w:t>
      </w:r>
      <w:r w:rsidR="00ED6A65" w:rsidRPr="00C6570D">
        <w:rPr>
          <w:lang w:val="nl-BE"/>
        </w:rPr>
        <w:t>)</w:t>
      </w:r>
    </w:p>
    <w:p w14:paraId="251C353D" w14:textId="77777777" w:rsidR="006B641C" w:rsidRPr="0069094F" w:rsidRDefault="00BA5590" w:rsidP="0069094F">
      <w:pPr>
        <w:pStyle w:val="NoParagraphStyle"/>
      </w:pPr>
      <w:r w:rsidRPr="0069094F">
        <w:rPr>
          <w:noProof/>
          <w:lang w:val="fr-BE" w:eastAsia="fr-BE"/>
        </w:rPr>
        <w:drawing>
          <wp:inline distT="0" distB="0" distL="0" distR="0" wp14:anchorId="251C355E" wp14:editId="251C355F">
            <wp:extent cx="327600" cy="21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3E" w14:textId="77777777" w:rsidR="00ED6A65" w:rsidRPr="0069094F" w:rsidRDefault="00BA5590" w:rsidP="0069094F">
      <w:pPr>
        <w:pStyle w:val="NoParagraphStyle"/>
      </w:pPr>
      <w:r w:rsidRPr="0069094F">
        <w:rPr>
          <w:noProof/>
          <w:lang w:val="fr-BE" w:eastAsia="fr-BE"/>
        </w:rPr>
        <w:drawing>
          <wp:inline distT="0" distB="0" distL="0" distR="0" wp14:anchorId="251C3560" wp14:editId="251C3561">
            <wp:extent cx="331200" cy="15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agram.emf"/>
                    <pic:cNvPicPr/>
                  </pic:nvPicPr>
                  <pic:blipFill>
                    <a:blip r:embed="rId22">
                      <a:extLst>
                        <a:ext uri="{28A0092B-C50C-407E-A947-70E740481C1C}">
                          <a14:useLocalDpi xmlns:a14="http://schemas.microsoft.com/office/drawing/2010/main" val="0"/>
                        </a:ext>
                      </a:extLst>
                    </a:blip>
                    <a:stretch>
                      <a:fillRect/>
                    </a:stretch>
                  </pic:blipFill>
                  <pic:spPr>
                    <a:xfrm>
                      <a:off x="0" y="0"/>
                      <a:ext cx="331200" cy="154800"/>
                    </a:xfrm>
                    <a:prstGeom prst="rect">
                      <a:avLst/>
                    </a:prstGeom>
                  </pic:spPr>
                </pic:pic>
              </a:graphicData>
            </a:graphic>
          </wp:inline>
        </w:drawing>
      </w:r>
      <w:r w:rsidR="00EB768C" w:rsidRPr="0069094F">
        <w:tab/>
      </w:r>
      <w:hyperlink r:id="rId23" w:history="1">
        <w:r w:rsidR="00D827A0" w:rsidRPr="0069094F">
          <w:rPr>
            <w:rStyle w:val="Hyperlink"/>
            <w:color w:val="000000"/>
            <w:u w:val="none"/>
          </w:rPr>
          <w:t>instagram.com/fodeconomie</w:t>
        </w:r>
      </w:hyperlink>
    </w:p>
    <w:p w14:paraId="251C353F" w14:textId="77777777" w:rsidR="006B641C" w:rsidRPr="0069094F" w:rsidRDefault="00BA5590" w:rsidP="0069094F">
      <w:pPr>
        <w:pStyle w:val="NoParagraphStyle"/>
      </w:pPr>
      <w:r w:rsidRPr="0069094F">
        <w:rPr>
          <w:noProof/>
          <w:lang w:val="fr-BE" w:eastAsia="fr-BE"/>
        </w:rPr>
        <w:drawing>
          <wp:inline distT="0" distB="0" distL="0" distR="0" wp14:anchorId="251C3562" wp14:editId="251C3563">
            <wp:extent cx="327600" cy="21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40" w14:textId="77777777" w:rsidR="00DA7C1E" w:rsidRPr="0069094F" w:rsidRDefault="0016501E" w:rsidP="0069094F">
      <w:pPr>
        <w:pStyle w:val="NoParagraphStyle"/>
      </w:pPr>
      <w:r w:rsidRPr="0069094F">
        <w:rPr>
          <w:noProof/>
          <w:lang w:val="fr-BE" w:eastAsia="fr-BE"/>
        </w:rPr>
        <w:drawing>
          <wp:inline distT="0" distB="0" distL="0" distR="0" wp14:anchorId="251C3564" wp14:editId="251C3565">
            <wp:extent cx="325125" cy="13393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outube.emf"/>
                    <pic:cNvPicPr/>
                  </pic:nvPicPr>
                  <pic:blipFill>
                    <a:blip r:embed="rId24">
                      <a:extLst>
                        <a:ext uri="{28A0092B-C50C-407E-A947-70E740481C1C}">
                          <a14:useLocalDpi xmlns:a14="http://schemas.microsoft.com/office/drawing/2010/main" val="0"/>
                        </a:ext>
                      </a:extLst>
                    </a:blip>
                    <a:stretch>
                      <a:fillRect/>
                    </a:stretch>
                  </pic:blipFill>
                  <pic:spPr>
                    <a:xfrm>
                      <a:off x="0" y="0"/>
                      <a:ext cx="325125" cy="133933"/>
                    </a:xfrm>
                    <a:prstGeom prst="rect">
                      <a:avLst/>
                    </a:prstGeom>
                  </pic:spPr>
                </pic:pic>
              </a:graphicData>
            </a:graphic>
          </wp:inline>
        </w:drawing>
      </w:r>
      <w:r w:rsidR="00EB768C" w:rsidRPr="0069094F">
        <w:tab/>
      </w:r>
      <w:hyperlink r:id="rId25" w:history="1">
        <w:r w:rsidR="00D827A0" w:rsidRPr="0069094F">
          <w:rPr>
            <w:rStyle w:val="Hyperlink"/>
            <w:color w:val="000000"/>
            <w:u w:val="none"/>
          </w:rPr>
          <w:t>youtube.com/user/FODEconomie</w:t>
        </w:r>
      </w:hyperlink>
    </w:p>
    <w:p w14:paraId="251C3541" w14:textId="77777777" w:rsidR="006B641C" w:rsidRPr="00BA5590" w:rsidRDefault="00BA5590" w:rsidP="00DB0FA2">
      <w:pPr>
        <w:pStyle w:val="NoParagraphStyle"/>
      </w:pPr>
      <w:r>
        <w:rPr>
          <w:noProof/>
          <w:lang w:val="fr-BE" w:eastAsia="fr-BE"/>
        </w:rPr>
        <w:drawing>
          <wp:inline distT="0" distB="0" distL="0" distR="0" wp14:anchorId="251C3566" wp14:editId="251C3567">
            <wp:extent cx="327600"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ne.emf"/>
                    <pic:cNvPicPr/>
                  </pic:nvPicPr>
                  <pic:blipFill>
                    <a:blip r:embed="rId16">
                      <a:extLst>
                        <a:ext uri="{28A0092B-C50C-407E-A947-70E740481C1C}">
                          <a14:useLocalDpi xmlns:a14="http://schemas.microsoft.com/office/drawing/2010/main" val="0"/>
                        </a:ext>
                      </a:extLst>
                    </a:blip>
                    <a:stretch>
                      <a:fillRect/>
                    </a:stretch>
                  </pic:blipFill>
                  <pic:spPr>
                    <a:xfrm>
                      <a:off x="0" y="0"/>
                      <a:ext cx="327600" cy="212400"/>
                    </a:xfrm>
                    <a:prstGeom prst="rect">
                      <a:avLst/>
                    </a:prstGeom>
                  </pic:spPr>
                </pic:pic>
              </a:graphicData>
            </a:graphic>
          </wp:inline>
        </w:drawing>
      </w:r>
    </w:p>
    <w:p w14:paraId="251C3542" w14:textId="70B01D6E" w:rsidR="00ED6A65" w:rsidRPr="00C6570D" w:rsidRDefault="0016501E" w:rsidP="00DB0FA2">
      <w:pPr>
        <w:pStyle w:val="NoParagraphStyle"/>
        <w:rPr>
          <w:lang w:val="nl-BE"/>
        </w:rPr>
      </w:pPr>
      <w:r>
        <w:rPr>
          <w:noProof/>
          <w:lang w:val="fr-BE" w:eastAsia="fr-BE"/>
        </w:rPr>
        <w:drawing>
          <wp:inline distT="0" distB="0" distL="0" distR="0" wp14:anchorId="251C3568" wp14:editId="251C3569">
            <wp:extent cx="325125" cy="15306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eb.emf"/>
                    <pic:cNvPicPr/>
                  </pic:nvPicPr>
                  <pic:blipFill>
                    <a:blip r:embed="rId26">
                      <a:extLst>
                        <a:ext uri="{28A0092B-C50C-407E-A947-70E740481C1C}">
                          <a14:useLocalDpi xmlns:a14="http://schemas.microsoft.com/office/drawing/2010/main" val="0"/>
                        </a:ext>
                      </a:extLst>
                    </a:blip>
                    <a:stretch>
                      <a:fillRect/>
                    </a:stretch>
                  </pic:blipFill>
                  <pic:spPr>
                    <a:xfrm>
                      <a:off x="0" y="0"/>
                      <a:ext cx="325125" cy="153067"/>
                    </a:xfrm>
                    <a:prstGeom prst="rect">
                      <a:avLst/>
                    </a:prstGeom>
                  </pic:spPr>
                </pic:pic>
              </a:graphicData>
            </a:graphic>
          </wp:inline>
        </w:drawing>
      </w:r>
      <w:r w:rsidR="00EB768C" w:rsidRPr="00C6570D">
        <w:rPr>
          <w:lang w:val="nl-BE"/>
        </w:rPr>
        <w:tab/>
      </w:r>
      <w:r w:rsidR="00ED788C" w:rsidRPr="00ED788C">
        <w:rPr>
          <w:lang w:val="nl-BE"/>
        </w:rPr>
        <w:t>https://economie.fgov.be</w:t>
      </w:r>
    </w:p>
    <w:p w14:paraId="251C3543" w14:textId="77777777" w:rsidR="00DA7C1E" w:rsidRPr="00C6570D" w:rsidRDefault="00DA7C1E" w:rsidP="00DB0FA2">
      <w:pPr>
        <w:pStyle w:val="NoParagraphStyle"/>
        <w:rPr>
          <w:lang w:val="nl-BE"/>
        </w:rPr>
      </w:pPr>
    </w:p>
    <w:p w14:paraId="251C3544" w14:textId="77777777" w:rsidR="00763884" w:rsidRPr="00763884" w:rsidRDefault="00216D1A" w:rsidP="00763884">
      <w:pPr>
        <w:pStyle w:val="NoParagraphStyle"/>
        <w:rPr>
          <w:lang w:val="nl-BE"/>
        </w:rPr>
      </w:pPr>
      <w:r w:rsidRPr="00216D1A">
        <w:rPr>
          <w:lang w:val="nl-BE"/>
        </w:rPr>
        <w:t>Verantwoordelijke uitgever:</w:t>
      </w:r>
    </w:p>
    <w:p w14:paraId="251C3545" w14:textId="77777777" w:rsidR="00763884" w:rsidRPr="00763884" w:rsidRDefault="00763884" w:rsidP="00763884">
      <w:pPr>
        <w:pStyle w:val="NoParagraphStyle"/>
        <w:rPr>
          <w:lang w:val="nl-BE"/>
        </w:rPr>
      </w:pPr>
      <w:r w:rsidRPr="00763884">
        <w:rPr>
          <w:lang w:val="nl-BE"/>
        </w:rPr>
        <w:t>Séverine Waterbley</w:t>
      </w:r>
    </w:p>
    <w:p w14:paraId="251C3546" w14:textId="77777777" w:rsidR="00DA7C1E" w:rsidRPr="0069094F" w:rsidRDefault="00216D1A" w:rsidP="00763884">
      <w:pPr>
        <w:pStyle w:val="NoParagraphStyle"/>
        <w:rPr>
          <w:lang w:val="nl-BE"/>
        </w:rPr>
      </w:pPr>
      <w:r w:rsidRPr="00216D1A">
        <w:rPr>
          <w:lang w:val="nl-BE"/>
        </w:rPr>
        <w:t>Voorzitter van het Directiecomité</w:t>
      </w:r>
    </w:p>
    <w:p w14:paraId="251C3547" w14:textId="77777777" w:rsidR="00FD65F4" w:rsidRPr="003B753D" w:rsidRDefault="0069094F" w:rsidP="00DB0FA2">
      <w:pPr>
        <w:pStyle w:val="NoParagraphStyle"/>
        <w:rPr>
          <w:lang w:val="nl-BE"/>
        </w:rPr>
      </w:pPr>
      <w:r w:rsidRPr="003B753D">
        <w:rPr>
          <w:lang w:val="nl-BE"/>
        </w:rPr>
        <w:t xml:space="preserve">Vooruitgangstraat </w:t>
      </w:r>
      <w:r w:rsidR="00DA7C1E" w:rsidRPr="003B753D">
        <w:rPr>
          <w:lang w:val="nl-BE"/>
        </w:rPr>
        <w:t>50</w:t>
      </w:r>
    </w:p>
    <w:p w14:paraId="251C3548" w14:textId="77777777" w:rsidR="00DA7C1E" w:rsidRPr="003B753D" w:rsidRDefault="00DA7C1E" w:rsidP="00DB0FA2">
      <w:pPr>
        <w:pStyle w:val="NoParagraphStyle"/>
        <w:rPr>
          <w:lang w:val="nl-BE"/>
        </w:rPr>
      </w:pPr>
      <w:r w:rsidRPr="003B753D">
        <w:rPr>
          <w:lang w:val="nl-BE"/>
        </w:rPr>
        <w:t>1210 Bru</w:t>
      </w:r>
      <w:r w:rsidR="0069094F" w:rsidRPr="003B753D">
        <w:rPr>
          <w:lang w:val="nl-BE"/>
        </w:rPr>
        <w:t>ssel</w:t>
      </w:r>
    </w:p>
    <w:p w14:paraId="251C3549" w14:textId="77777777" w:rsidR="00DA7C1E" w:rsidRPr="003B753D" w:rsidRDefault="00DA7C1E" w:rsidP="00DB0FA2">
      <w:pPr>
        <w:pStyle w:val="NoParagraphStyle"/>
        <w:rPr>
          <w:lang w:val="nl-BE"/>
        </w:rPr>
      </w:pPr>
    </w:p>
    <w:p w14:paraId="251C354A" w14:textId="4F27B149" w:rsidR="00DA7C1E" w:rsidRPr="003B753D" w:rsidRDefault="0069094F" w:rsidP="00DB0FA2">
      <w:pPr>
        <w:pStyle w:val="NoParagraphStyle"/>
        <w:rPr>
          <w:lang w:val="nl-BE"/>
        </w:rPr>
      </w:pPr>
      <w:r w:rsidRPr="003B753D">
        <w:rPr>
          <w:lang w:val="nl-BE"/>
        </w:rPr>
        <w:t>Internetversie</w:t>
      </w:r>
    </w:p>
    <w:p w14:paraId="251C354B" w14:textId="77777777" w:rsidR="002F7062" w:rsidRPr="003B753D" w:rsidRDefault="002F7062" w:rsidP="00DB0FA2">
      <w:pPr>
        <w:pStyle w:val="NoParagraphStyle"/>
        <w:rPr>
          <w:lang w:val="nl-BE"/>
        </w:rPr>
      </w:pPr>
    </w:p>
    <w:p w14:paraId="251C354C" w14:textId="77777777" w:rsidR="002E7428" w:rsidRPr="003B753D" w:rsidRDefault="002E7428" w:rsidP="00DB0FA2">
      <w:pPr>
        <w:pStyle w:val="NoParagraphStyle"/>
        <w:rPr>
          <w:lang w:val="nl-BE"/>
        </w:rPr>
      </w:pPr>
    </w:p>
    <w:p w14:paraId="251C354D" w14:textId="77777777" w:rsidR="007C7790" w:rsidRPr="003B753D" w:rsidRDefault="007C7790" w:rsidP="00DB0FA2">
      <w:pPr>
        <w:pStyle w:val="NoParagraphStyle"/>
        <w:rPr>
          <w:lang w:val="nl-BE"/>
        </w:rPr>
        <w:sectPr w:rsidR="007C7790" w:rsidRPr="003B753D" w:rsidSect="00515FDD">
          <w:headerReference w:type="default" r:id="rId27"/>
          <w:footerReference w:type="default" r:id="rId28"/>
          <w:headerReference w:type="first" r:id="rId29"/>
          <w:footerReference w:type="first" r:id="rId30"/>
          <w:pgSz w:w="11906" w:h="16838" w:code="9"/>
          <w:pgMar w:top="2552" w:right="1701" w:bottom="2268" w:left="1701" w:header="454" w:footer="284" w:gutter="0"/>
          <w:cols w:space="720"/>
          <w:vAlign w:val="bottom"/>
          <w:docGrid w:linePitch="360"/>
        </w:sectPr>
      </w:pPr>
    </w:p>
    <w:p w14:paraId="251C354E" w14:textId="0879208D" w:rsidR="00893E81" w:rsidRDefault="00EB5873" w:rsidP="00EB5873">
      <w:pPr>
        <w:pStyle w:val="Kop4"/>
        <w:rPr>
          <w:lang w:val="nl-BE"/>
        </w:rPr>
      </w:pPr>
      <w:r w:rsidRPr="003B753D">
        <w:rPr>
          <w:lang w:val="nl-BE"/>
        </w:rPr>
        <w:lastRenderedPageBreak/>
        <w:t>Inhoudsopgave</w:t>
      </w:r>
    </w:p>
    <w:p w14:paraId="60F4AED3" w14:textId="1C89642D" w:rsidR="003A6569" w:rsidRDefault="00171318">
      <w:pPr>
        <w:pStyle w:val="Inhopg1"/>
        <w:rPr>
          <w:rFonts w:asciiTheme="minorHAnsi" w:eastAsiaTheme="minorEastAsia" w:hAnsiTheme="minorHAnsi"/>
          <w:sz w:val="22"/>
          <w:szCs w:val="22"/>
          <w:lang w:eastAsia="nl-BE"/>
        </w:rPr>
      </w:pPr>
      <w:r>
        <w:fldChar w:fldCharType="begin"/>
      </w:r>
      <w:r>
        <w:instrText xml:space="preserve"> TOC \o "1-3" \h \z \u </w:instrText>
      </w:r>
      <w:r>
        <w:fldChar w:fldCharType="separate"/>
      </w:r>
      <w:hyperlink w:anchor="_Toc150870527" w:history="1">
        <w:r w:rsidR="003A6569" w:rsidRPr="002B7C5D">
          <w:rPr>
            <w:rStyle w:val="Hyperlink"/>
          </w:rPr>
          <w:t>Inleiding</w:t>
        </w:r>
        <w:r w:rsidR="003A6569">
          <w:rPr>
            <w:webHidden/>
          </w:rPr>
          <w:tab/>
        </w:r>
        <w:r w:rsidR="003A6569">
          <w:rPr>
            <w:webHidden/>
          </w:rPr>
          <w:fldChar w:fldCharType="begin"/>
        </w:r>
        <w:r w:rsidR="003A6569">
          <w:rPr>
            <w:webHidden/>
          </w:rPr>
          <w:instrText xml:space="preserve"> PAGEREF _Toc150870527 \h </w:instrText>
        </w:r>
        <w:r w:rsidR="003A6569">
          <w:rPr>
            <w:webHidden/>
          </w:rPr>
        </w:r>
        <w:r w:rsidR="003A6569">
          <w:rPr>
            <w:webHidden/>
          </w:rPr>
          <w:fldChar w:fldCharType="separate"/>
        </w:r>
        <w:r w:rsidR="000C4DFF">
          <w:rPr>
            <w:webHidden/>
          </w:rPr>
          <w:t>7</w:t>
        </w:r>
        <w:r w:rsidR="003A6569">
          <w:rPr>
            <w:webHidden/>
          </w:rPr>
          <w:fldChar w:fldCharType="end"/>
        </w:r>
      </w:hyperlink>
    </w:p>
    <w:p w14:paraId="25E3AFD8" w14:textId="49E65C98" w:rsidR="003A6569" w:rsidRDefault="00000000">
      <w:pPr>
        <w:pStyle w:val="Inhopg1"/>
        <w:rPr>
          <w:rFonts w:asciiTheme="minorHAnsi" w:eastAsiaTheme="minorEastAsia" w:hAnsiTheme="minorHAnsi"/>
          <w:sz w:val="22"/>
          <w:szCs w:val="22"/>
          <w:lang w:eastAsia="nl-BE"/>
        </w:rPr>
      </w:pPr>
      <w:hyperlink w:anchor="_Toc150870528" w:history="1">
        <w:r w:rsidR="003A6569" w:rsidRPr="002B7C5D">
          <w:rPr>
            <w:rStyle w:val="Hyperlink"/>
          </w:rPr>
          <w:t>1.</w:t>
        </w:r>
        <w:r w:rsidR="003A6569">
          <w:rPr>
            <w:rFonts w:asciiTheme="minorHAnsi" w:eastAsiaTheme="minorEastAsia" w:hAnsiTheme="minorHAnsi"/>
            <w:sz w:val="22"/>
            <w:szCs w:val="22"/>
            <w:lang w:eastAsia="nl-BE"/>
          </w:rPr>
          <w:tab/>
        </w:r>
        <w:r w:rsidR="003A6569" w:rsidRPr="002B7C5D">
          <w:rPr>
            <w:rStyle w:val="Hyperlink"/>
          </w:rPr>
          <w:t>Principe 1 – Naar een optimaal gebruik van elektronische (communicatie-)middelen</w:t>
        </w:r>
        <w:r w:rsidR="003A6569">
          <w:rPr>
            <w:webHidden/>
          </w:rPr>
          <w:tab/>
        </w:r>
        <w:r w:rsidR="003A6569">
          <w:rPr>
            <w:webHidden/>
          </w:rPr>
          <w:fldChar w:fldCharType="begin"/>
        </w:r>
        <w:r w:rsidR="003A6569">
          <w:rPr>
            <w:webHidden/>
          </w:rPr>
          <w:instrText xml:space="preserve"> PAGEREF _Toc150870528 \h </w:instrText>
        </w:r>
        <w:r w:rsidR="003A6569">
          <w:rPr>
            <w:webHidden/>
          </w:rPr>
        </w:r>
        <w:r w:rsidR="003A6569">
          <w:rPr>
            <w:webHidden/>
          </w:rPr>
          <w:fldChar w:fldCharType="separate"/>
        </w:r>
        <w:r w:rsidR="000C4DFF">
          <w:rPr>
            <w:webHidden/>
          </w:rPr>
          <w:t>10</w:t>
        </w:r>
        <w:r w:rsidR="003A6569">
          <w:rPr>
            <w:webHidden/>
          </w:rPr>
          <w:fldChar w:fldCharType="end"/>
        </w:r>
      </w:hyperlink>
    </w:p>
    <w:p w14:paraId="2ADDA71E" w14:textId="7F73EA4E" w:rsidR="003A6569" w:rsidRDefault="00000000">
      <w:pPr>
        <w:pStyle w:val="Inhopg2"/>
        <w:rPr>
          <w:rFonts w:asciiTheme="minorHAnsi" w:eastAsiaTheme="minorEastAsia" w:hAnsiTheme="minorHAnsi"/>
          <w:noProof/>
          <w:sz w:val="22"/>
          <w:szCs w:val="22"/>
          <w:lang w:eastAsia="nl-BE"/>
        </w:rPr>
      </w:pPr>
      <w:hyperlink w:anchor="_Toc150870529" w:history="1">
        <w:r w:rsidR="003A6569" w:rsidRPr="002B7C5D">
          <w:rPr>
            <w:rStyle w:val="Hyperlink"/>
            <w:noProof/>
          </w:rPr>
          <w:t>1.1.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_Toc150870529 \h </w:instrText>
        </w:r>
        <w:r w:rsidR="003A6569">
          <w:rPr>
            <w:noProof/>
            <w:webHidden/>
          </w:rPr>
        </w:r>
        <w:r w:rsidR="003A6569">
          <w:rPr>
            <w:noProof/>
            <w:webHidden/>
          </w:rPr>
          <w:fldChar w:fldCharType="separate"/>
        </w:r>
        <w:r w:rsidR="000C4DFF">
          <w:rPr>
            <w:noProof/>
            <w:webHidden/>
          </w:rPr>
          <w:t>10</w:t>
        </w:r>
        <w:r w:rsidR="003A6569">
          <w:rPr>
            <w:noProof/>
            <w:webHidden/>
          </w:rPr>
          <w:fldChar w:fldCharType="end"/>
        </w:r>
      </w:hyperlink>
    </w:p>
    <w:p w14:paraId="146105D7" w14:textId="567A46D9" w:rsidR="003A6569" w:rsidRDefault="00000000">
      <w:pPr>
        <w:pStyle w:val="Inhopg2"/>
        <w:rPr>
          <w:rFonts w:asciiTheme="minorHAnsi" w:eastAsiaTheme="minorEastAsia" w:hAnsiTheme="minorHAnsi"/>
          <w:noProof/>
          <w:sz w:val="22"/>
          <w:szCs w:val="22"/>
          <w:lang w:eastAsia="nl-BE"/>
        </w:rPr>
      </w:pPr>
      <w:hyperlink w:anchor="_Toc150870530" w:history="1">
        <w:r w:rsidR="003A6569" w:rsidRPr="002B7C5D">
          <w:rPr>
            <w:rStyle w:val="Hyperlink"/>
            <w:noProof/>
          </w:rPr>
          <w:t>1.2.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_Toc150870530 \h </w:instrText>
        </w:r>
        <w:r w:rsidR="003A6569">
          <w:rPr>
            <w:noProof/>
            <w:webHidden/>
          </w:rPr>
        </w:r>
        <w:r w:rsidR="003A6569">
          <w:rPr>
            <w:noProof/>
            <w:webHidden/>
          </w:rPr>
          <w:fldChar w:fldCharType="separate"/>
        </w:r>
        <w:r w:rsidR="000C4DFF">
          <w:rPr>
            <w:noProof/>
            <w:webHidden/>
          </w:rPr>
          <w:t>11</w:t>
        </w:r>
        <w:r w:rsidR="003A6569">
          <w:rPr>
            <w:noProof/>
            <w:webHidden/>
          </w:rPr>
          <w:fldChar w:fldCharType="end"/>
        </w:r>
      </w:hyperlink>
    </w:p>
    <w:p w14:paraId="6929B7B5" w14:textId="1D9AC4C5" w:rsidR="003A6569" w:rsidRDefault="00000000">
      <w:pPr>
        <w:pStyle w:val="Inhopg2"/>
        <w:rPr>
          <w:rFonts w:asciiTheme="minorHAnsi" w:eastAsiaTheme="minorEastAsia" w:hAnsiTheme="minorHAnsi"/>
          <w:noProof/>
          <w:sz w:val="22"/>
          <w:szCs w:val="22"/>
          <w:lang w:eastAsia="nl-BE"/>
        </w:rPr>
      </w:pPr>
      <w:hyperlink w:anchor="_Toc150870531" w:history="1">
        <w:r w:rsidR="003A6569" w:rsidRPr="002B7C5D">
          <w:rPr>
            <w:rStyle w:val="Hyperlink"/>
            <w:noProof/>
          </w:rPr>
          <w:t>1.3.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_Toc150870531 \h </w:instrText>
        </w:r>
        <w:r w:rsidR="003A6569">
          <w:rPr>
            <w:noProof/>
            <w:webHidden/>
          </w:rPr>
        </w:r>
        <w:r w:rsidR="003A6569">
          <w:rPr>
            <w:noProof/>
            <w:webHidden/>
          </w:rPr>
          <w:fldChar w:fldCharType="separate"/>
        </w:r>
        <w:r w:rsidR="000C4DFF">
          <w:rPr>
            <w:noProof/>
            <w:webHidden/>
          </w:rPr>
          <w:t>12</w:t>
        </w:r>
        <w:r w:rsidR="003A6569">
          <w:rPr>
            <w:noProof/>
            <w:webHidden/>
          </w:rPr>
          <w:fldChar w:fldCharType="end"/>
        </w:r>
      </w:hyperlink>
    </w:p>
    <w:p w14:paraId="00799A36" w14:textId="7C40E316" w:rsidR="003A6569" w:rsidRDefault="00000000">
      <w:pPr>
        <w:pStyle w:val="Inhopg3"/>
        <w:rPr>
          <w:rFonts w:asciiTheme="minorHAnsi" w:eastAsiaTheme="minorEastAsia" w:hAnsiTheme="minorHAnsi"/>
          <w:noProof/>
          <w:sz w:val="22"/>
          <w:szCs w:val="22"/>
          <w:lang w:eastAsia="nl-BE"/>
        </w:rPr>
      </w:pPr>
      <w:hyperlink w:anchor="_Toc150870532" w:history="1">
        <w:r w:rsidR="003A6569" w:rsidRPr="002B7C5D">
          <w:rPr>
            <w:rStyle w:val="Hyperlink"/>
            <w:rFonts w:eastAsia="Segoe UI"/>
            <w:noProof/>
          </w:rPr>
          <w:t>1.3.1.</w:t>
        </w:r>
        <w:r w:rsidR="003A6569">
          <w:rPr>
            <w:rFonts w:asciiTheme="minorHAnsi" w:eastAsiaTheme="minorEastAsia" w:hAnsiTheme="minorHAnsi"/>
            <w:noProof/>
            <w:sz w:val="22"/>
            <w:szCs w:val="22"/>
            <w:lang w:eastAsia="nl-BE"/>
          </w:rPr>
          <w:tab/>
        </w:r>
        <w:r w:rsidR="003A6569" w:rsidRPr="002B7C5D">
          <w:rPr>
            <w:rStyle w:val="Hyperlink"/>
            <w:rFonts w:eastAsia="Segoe UI"/>
            <w:noProof/>
          </w:rPr>
          <w:t>Het gebruik van elektronische communicatiemiddelen</w:t>
        </w:r>
        <w:r w:rsidR="003A6569">
          <w:rPr>
            <w:noProof/>
            <w:webHidden/>
          </w:rPr>
          <w:tab/>
        </w:r>
        <w:r w:rsidR="003A6569">
          <w:rPr>
            <w:noProof/>
            <w:webHidden/>
          </w:rPr>
          <w:fldChar w:fldCharType="begin"/>
        </w:r>
        <w:r w:rsidR="003A6569">
          <w:rPr>
            <w:noProof/>
            <w:webHidden/>
          </w:rPr>
          <w:instrText xml:space="preserve"> PAGEREF _Toc150870532 \h </w:instrText>
        </w:r>
        <w:r w:rsidR="003A6569">
          <w:rPr>
            <w:noProof/>
            <w:webHidden/>
          </w:rPr>
        </w:r>
        <w:r w:rsidR="003A6569">
          <w:rPr>
            <w:noProof/>
            <w:webHidden/>
          </w:rPr>
          <w:fldChar w:fldCharType="separate"/>
        </w:r>
        <w:r w:rsidR="000C4DFF">
          <w:rPr>
            <w:noProof/>
            <w:webHidden/>
          </w:rPr>
          <w:t>12</w:t>
        </w:r>
        <w:r w:rsidR="003A6569">
          <w:rPr>
            <w:noProof/>
            <w:webHidden/>
          </w:rPr>
          <w:fldChar w:fldCharType="end"/>
        </w:r>
      </w:hyperlink>
    </w:p>
    <w:p w14:paraId="541DBBF8" w14:textId="2D24DA42" w:rsidR="003A6569" w:rsidRDefault="00000000">
      <w:pPr>
        <w:pStyle w:val="Inhopg3"/>
        <w:rPr>
          <w:rFonts w:asciiTheme="minorHAnsi" w:eastAsiaTheme="minorEastAsia" w:hAnsiTheme="minorHAnsi"/>
          <w:noProof/>
          <w:sz w:val="22"/>
          <w:szCs w:val="22"/>
          <w:lang w:eastAsia="nl-BE"/>
        </w:rPr>
      </w:pPr>
      <w:hyperlink w:anchor="_Toc150870533" w:history="1">
        <w:r w:rsidR="003A6569" w:rsidRPr="002B7C5D">
          <w:rPr>
            <w:rStyle w:val="Hyperlink"/>
            <w:noProof/>
            <w:lang w:val="nl-NL"/>
          </w:rPr>
          <w:t>1.3.2.</w:t>
        </w:r>
        <w:r w:rsidR="003A6569">
          <w:rPr>
            <w:rFonts w:asciiTheme="minorHAnsi" w:eastAsiaTheme="minorEastAsia" w:hAnsiTheme="minorHAnsi"/>
            <w:noProof/>
            <w:sz w:val="22"/>
            <w:szCs w:val="22"/>
            <w:lang w:eastAsia="nl-BE"/>
          </w:rPr>
          <w:tab/>
        </w:r>
        <w:r w:rsidR="003A6569" w:rsidRPr="002B7C5D">
          <w:rPr>
            <w:rStyle w:val="Hyperlink"/>
            <w:noProof/>
            <w:lang w:val="nl-NL"/>
          </w:rPr>
          <w:t>De elektronische factuur in het kader van overheidsopdrachten</w:t>
        </w:r>
        <w:r w:rsidR="003A6569">
          <w:rPr>
            <w:noProof/>
            <w:webHidden/>
          </w:rPr>
          <w:tab/>
        </w:r>
        <w:r w:rsidR="003A6569">
          <w:rPr>
            <w:noProof/>
            <w:webHidden/>
          </w:rPr>
          <w:fldChar w:fldCharType="begin"/>
        </w:r>
        <w:r w:rsidR="003A6569">
          <w:rPr>
            <w:noProof/>
            <w:webHidden/>
          </w:rPr>
          <w:instrText xml:space="preserve"> PAGEREF _Toc150870533 \h </w:instrText>
        </w:r>
        <w:r w:rsidR="003A6569">
          <w:rPr>
            <w:noProof/>
            <w:webHidden/>
          </w:rPr>
        </w:r>
        <w:r w:rsidR="003A6569">
          <w:rPr>
            <w:noProof/>
            <w:webHidden/>
          </w:rPr>
          <w:fldChar w:fldCharType="separate"/>
        </w:r>
        <w:r w:rsidR="000C4DFF">
          <w:rPr>
            <w:noProof/>
            <w:webHidden/>
          </w:rPr>
          <w:t>13</w:t>
        </w:r>
        <w:r w:rsidR="003A6569">
          <w:rPr>
            <w:noProof/>
            <w:webHidden/>
          </w:rPr>
          <w:fldChar w:fldCharType="end"/>
        </w:r>
      </w:hyperlink>
    </w:p>
    <w:p w14:paraId="13C0F556" w14:textId="1BAC4126" w:rsidR="003A6569" w:rsidRDefault="00000000">
      <w:pPr>
        <w:pStyle w:val="Inhopg3"/>
        <w:rPr>
          <w:rFonts w:asciiTheme="minorHAnsi" w:eastAsiaTheme="minorEastAsia" w:hAnsiTheme="minorHAnsi"/>
          <w:noProof/>
          <w:sz w:val="22"/>
          <w:szCs w:val="22"/>
          <w:lang w:eastAsia="nl-BE"/>
        </w:rPr>
      </w:pPr>
      <w:hyperlink w:anchor="_Toc150870534" w:history="1">
        <w:r w:rsidR="003A6569" w:rsidRPr="002B7C5D">
          <w:rPr>
            <w:rStyle w:val="Hyperlink"/>
            <w:rFonts w:eastAsia="Lato"/>
            <w:noProof/>
          </w:rPr>
          <w:t>1.3.3.</w:t>
        </w:r>
        <w:r w:rsidR="003A6569">
          <w:rPr>
            <w:rFonts w:asciiTheme="minorHAnsi" w:eastAsiaTheme="minorEastAsia" w:hAnsiTheme="minorHAnsi"/>
            <w:noProof/>
            <w:sz w:val="22"/>
            <w:szCs w:val="22"/>
            <w:lang w:eastAsia="nl-BE"/>
          </w:rPr>
          <w:tab/>
        </w:r>
        <w:r w:rsidR="003A6569" w:rsidRPr="002B7C5D">
          <w:rPr>
            <w:rStyle w:val="Hyperlink"/>
            <w:rFonts w:eastAsia="Lato"/>
            <w:noProof/>
          </w:rPr>
          <w:t>De elektronische handtekening</w:t>
        </w:r>
        <w:r w:rsidR="003A6569">
          <w:rPr>
            <w:noProof/>
            <w:webHidden/>
          </w:rPr>
          <w:tab/>
        </w:r>
        <w:r w:rsidR="003A6569">
          <w:rPr>
            <w:noProof/>
            <w:webHidden/>
          </w:rPr>
          <w:fldChar w:fldCharType="begin"/>
        </w:r>
        <w:r w:rsidR="003A6569">
          <w:rPr>
            <w:noProof/>
            <w:webHidden/>
          </w:rPr>
          <w:instrText xml:space="preserve"> PAGEREF _Toc150870534 \h </w:instrText>
        </w:r>
        <w:r w:rsidR="003A6569">
          <w:rPr>
            <w:noProof/>
            <w:webHidden/>
          </w:rPr>
        </w:r>
        <w:r w:rsidR="003A6569">
          <w:rPr>
            <w:noProof/>
            <w:webHidden/>
          </w:rPr>
          <w:fldChar w:fldCharType="separate"/>
        </w:r>
        <w:r w:rsidR="000C4DFF">
          <w:rPr>
            <w:noProof/>
            <w:webHidden/>
          </w:rPr>
          <w:t>14</w:t>
        </w:r>
        <w:r w:rsidR="003A6569">
          <w:rPr>
            <w:noProof/>
            <w:webHidden/>
          </w:rPr>
          <w:fldChar w:fldCharType="end"/>
        </w:r>
      </w:hyperlink>
    </w:p>
    <w:p w14:paraId="6C9093D2" w14:textId="12E8FFD9" w:rsidR="003A6569" w:rsidRDefault="00000000">
      <w:pPr>
        <w:pStyle w:val="Inhopg3"/>
        <w:rPr>
          <w:rFonts w:asciiTheme="minorHAnsi" w:eastAsiaTheme="minorEastAsia" w:hAnsiTheme="minorHAnsi"/>
          <w:noProof/>
          <w:sz w:val="22"/>
          <w:szCs w:val="22"/>
          <w:lang w:eastAsia="nl-BE"/>
        </w:rPr>
      </w:pPr>
      <w:hyperlink w:anchor="_Toc150870535" w:history="1">
        <w:r w:rsidR="003A6569" w:rsidRPr="002B7C5D">
          <w:rPr>
            <w:rStyle w:val="Hyperlink"/>
            <w:rFonts w:eastAsia="Lato"/>
            <w:noProof/>
          </w:rPr>
          <w:t>1.3.4.</w:t>
        </w:r>
        <w:r w:rsidR="003A6569">
          <w:rPr>
            <w:rFonts w:asciiTheme="minorHAnsi" w:eastAsiaTheme="minorEastAsia" w:hAnsiTheme="minorHAnsi"/>
            <w:noProof/>
            <w:sz w:val="22"/>
            <w:szCs w:val="22"/>
            <w:lang w:eastAsia="nl-BE"/>
          </w:rPr>
          <w:tab/>
        </w:r>
        <w:r w:rsidR="003A6569" w:rsidRPr="002B7C5D">
          <w:rPr>
            <w:rStyle w:val="Hyperlink"/>
            <w:rFonts w:eastAsia="Lato"/>
            <w:noProof/>
          </w:rPr>
          <w:t>Telemarc, het only once-principe en eCertis</w:t>
        </w:r>
        <w:r w:rsidR="003A6569">
          <w:rPr>
            <w:noProof/>
            <w:webHidden/>
          </w:rPr>
          <w:tab/>
        </w:r>
        <w:r w:rsidR="003A6569">
          <w:rPr>
            <w:noProof/>
            <w:webHidden/>
          </w:rPr>
          <w:fldChar w:fldCharType="begin"/>
        </w:r>
        <w:r w:rsidR="003A6569">
          <w:rPr>
            <w:noProof/>
            <w:webHidden/>
          </w:rPr>
          <w:instrText xml:space="preserve"> PAGEREF _Toc150870535 \h </w:instrText>
        </w:r>
        <w:r w:rsidR="003A6569">
          <w:rPr>
            <w:noProof/>
            <w:webHidden/>
          </w:rPr>
        </w:r>
        <w:r w:rsidR="003A6569">
          <w:rPr>
            <w:noProof/>
            <w:webHidden/>
          </w:rPr>
          <w:fldChar w:fldCharType="separate"/>
        </w:r>
        <w:r w:rsidR="000C4DFF">
          <w:rPr>
            <w:noProof/>
            <w:webHidden/>
          </w:rPr>
          <w:t>14</w:t>
        </w:r>
        <w:r w:rsidR="003A6569">
          <w:rPr>
            <w:noProof/>
            <w:webHidden/>
          </w:rPr>
          <w:fldChar w:fldCharType="end"/>
        </w:r>
      </w:hyperlink>
    </w:p>
    <w:p w14:paraId="0183C63F" w14:textId="4D76C97A" w:rsidR="003A6569" w:rsidRDefault="00000000">
      <w:pPr>
        <w:pStyle w:val="Inhopg3"/>
        <w:rPr>
          <w:rFonts w:asciiTheme="minorHAnsi" w:eastAsiaTheme="minorEastAsia" w:hAnsiTheme="minorHAnsi"/>
          <w:noProof/>
          <w:sz w:val="22"/>
          <w:szCs w:val="22"/>
          <w:lang w:eastAsia="nl-BE"/>
        </w:rPr>
      </w:pPr>
      <w:hyperlink w:anchor="_Toc150870536" w:history="1">
        <w:r w:rsidR="003A6569" w:rsidRPr="002B7C5D">
          <w:rPr>
            <w:rStyle w:val="Hyperlink"/>
            <w:rFonts w:eastAsia="Lato"/>
            <w:noProof/>
          </w:rPr>
          <w:t>1.3.5.</w:t>
        </w:r>
        <w:r w:rsidR="003A6569">
          <w:rPr>
            <w:rFonts w:asciiTheme="minorHAnsi" w:eastAsiaTheme="minorEastAsia" w:hAnsiTheme="minorHAnsi"/>
            <w:noProof/>
            <w:sz w:val="22"/>
            <w:szCs w:val="22"/>
            <w:lang w:eastAsia="nl-BE"/>
          </w:rPr>
          <w:tab/>
        </w:r>
        <w:r w:rsidR="003A6569" w:rsidRPr="002B7C5D">
          <w:rPr>
            <w:rStyle w:val="Hyperlink"/>
            <w:rFonts w:eastAsia="Lato"/>
            <w:noProof/>
          </w:rPr>
          <w:t>Het Uniform Europees Aanbestedingsdocument (UEA)</w:t>
        </w:r>
        <w:r w:rsidR="003A6569">
          <w:rPr>
            <w:noProof/>
            <w:webHidden/>
          </w:rPr>
          <w:tab/>
        </w:r>
        <w:r w:rsidR="003A6569">
          <w:rPr>
            <w:noProof/>
            <w:webHidden/>
          </w:rPr>
          <w:fldChar w:fldCharType="begin"/>
        </w:r>
        <w:r w:rsidR="003A6569">
          <w:rPr>
            <w:noProof/>
            <w:webHidden/>
          </w:rPr>
          <w:instrText xml:space="preserve"> PAGEREF _Toc150870536 \h </w:instrText>
        </w:r>
        <w:r w:rsidR="003A6569">
          <w:rPr>
            <w:noProof/>
            <w:webHidden/>
          </w:rPr>
        </w:r>
        <w:r w:rsidR="003A6569">
          <w:rPr>
            <w:noProof/>
            <w:webHidden/>
          </w:rPr>
          <w:fldChar w:fldCharType="separate"/>
        </w:r>
        <w:r w:rsidR="000C4DFF">
          <w:rPr>
            <w:noProof/>
            <w:webHidden/>
          </w:rPr>
          <w:t>15</w:t>
        </w:r>
        <w:r w:rsidR="003A6569">
          <w:rPr>
            <w:noProof/>
            <w:webHidden/>
          </w:rPr>
          <w:fldChar w:fldCharType="end"/>
        </w:r>
      </w:hyperlink>
    </w:p>
    <w:p w14:paraId="3759022E" w14:textId="103F5FC2" w:rsidR="003A6569" w:rsidRDefault="00000000">
      <w:pPr>
        <w:pStyle w:val="Inhopg3"/>
        <w:rPr>
          <w:rFonts w:asciiTheme="minorHAnsi" w:eastAsiaTheme="minorEastAsia" w:hAnsiTheme="minorHAnsi"/>
          <w:noProof/>
          <w:sz w:val="22"/>
          <w:szCs w:val="22"/>
          <w:lang w:eastAsia="nl-BE"/>
        </w:rPr>
      </w:pPr>
      <w:hyperlink w:anchor="_Toc150870537" w:history="1">
        <w:r w:rsidR="003A6569" w:rsidRPr="002B7C5D">
          <w:rPr>
            <w:rStyle w:val="Hyperlink"/>
            <w:rFonts w:eastAsia="Lato"/>
            <w:noProof/>
          </w:rPr>
          <w:t>1.3.6.</w:t>
        </w:r>
        <w:r w:rsidR="003A6569">
          <w:rPr>
            <w:rFonts w:asciiTheme="minorHAnsi" w:eastAsiaTheme="minorEastAsia" w:hAnsiTheme="minorHAnsi"/>
            <w:noProof/>
            <w:sz w:val="22"/>
            <w:szCs w:val="22"/>
            <w:lang w:eastAsia="nl-BE"/>
          </w:rPr>
          <w:tab/>
        </w:r>
        <w:r w:rsidR="003A6569" w:rsidRPr="002B7C5D">
          <w:rPr>
            <w:rStyle w:val="Hyperlink"/>
            <w:rFonts w:eastAsia="Lato"/>
            <w:noProof/>
          </w:rPr>
          <w:t>Federale omzendbrief e-Procurement: opheffing</w:t>
        </w:r>
        <w:r w:rsidR="003A6569">
          <w:rPr>
            <w:noProof/>
            <w:webHidden/>
          </w:rPr>
          <w:tab/>
        </w:r>
        <w:r w:rsidR="003A6569">
          <w:rPr>
            <w:noProof/>
            <w:webHidden/>
          </w:rPr>
          <w:fldChar w:fldCharType="begin"/>
        </w:r>
        <w:r w:rsidR="003A6569">
          <w:rPr>
            <w:noProof/>
            <w:webHidden/>
          </w:rPr>
          <w:instrText xml:space="preserve"> PAGEREF _Toc150870537 \h </w:instrText>
        </w:r>
        <w:r w:rsidR="003A6569">
          <w:rPr>
            <w:noProof/>
            <w:webHidden/>
          </w:rPr>
        </w:r>
        <w:r w:rsidR="003A6569">
          <w:rPr>
            <w:noProof/>
            <w:webHidden/>
          </w:rPr>
          <w:fldChar w:fldCharType="separate"/>
        </w:r>
        <w:r w:rsidR="000C4DFF">
          <w:rPr>
            <w:noProof/>
            <w:webHidden/>
          </w:rPr>
          <w:t>16</w:t>
        </w:r>
        <w:r w:rsidR="003A6569">
          <w:rPr>
            <w:noProof/>
            <w:webHidden/>
          </w:rPr>
          <w:fldChar w:fldCharType="end"/>
        </w:r>
      </w:hyperlink>
    </w:p>
    <w:p w14:paraId="6CB56764" w14:textId="1B496A3E" w:rsidR="003A6569" w:rsidRDefault="00000000">
      <w:pPr>
        <w:pStyle w:val="Inhopg2"/>
        <w:rPr>
          <w:rFonts w:asciiTheme="minorHAnsi" w:eastAsiaTheme="minorEastAsia" w:hAnsiTheme="minorHAnsi"/>
          <w:noProof/>
          <w:sz w:val="22"/>
          <w:szCs w:val="22"/>
          <w:lang w:eastAsia="nl-BE"/>
        </w:rPr>
      </w:pPr>
      <w:hyperlink w:anchor="_Toc150870538" w:history="1">
        <w:r w:rsidR="003A6569" w:rsidRPr="002B7C5D">
          <w:rPr>
            <w:rStyle w:val="Hyperlink"/>
            <w:noProof/>
          </w:rPr>
          <w:t>1.4.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_Toc150870538 \h </w:instrText>
        </w:r>
        <w:r w:rsidR="003A6569">
          <w:rPr>
            <w:noProof/>
            <w:webHidden/>
          </w:rPr>
        </w:r>
        <w:r w:rsidR="003A6569">
          <w:rPr>
            <w:noProof/>
            <w:webHidden/>
          </w:rPr>
          <w:fldChar w:fldCharType="separate"/>
        </w:r>
        <w:r w:rsidR="000C4DFF">
          <w:rPr>
            <w:noProof/>
            <w:webHidden/>
          </w:rPr>
          <w:t>16</w:t>
        </w:r>
        <w:r w:rsidR="003A6569">
          <w:rPr>
            <w:noProof/>
            <w:webHidden/>
          </w:rPr>
          <w:fldChar w:fldCharType="end"/>
        </w:r>
      </w:hyperlink>
    </w:p>
    <w:p w14:paraId="064C53FA" w14:textId="6DA3FAA6" w:rsidR="003A6569" w:rsidRDefault="00000000">
      <w:pPr>
        <w:pStyle w:val="Inhopg1"/>
        <w:rPr>
          <w:rFonts w:asciiTheme="minorHAnsi" w:eastAsiaTheme="minorEastAsia" w:hAnsiTheme="minorHAnsi"/>
          <w:sz w:val="22"/>
          <w:szCs w:val="22"/>
          <w:lang w:eastAsia="nl-BE"/>
        </w:rPr>
      </w:pPr>
      <w:hyperlink w:anchor="_Toc150870539" w:history="1">
        <w:r w:rsidR="003A6569" w:rsidRPr="002B7C5D">
          <w:rPr>
            <w:rStyle w:val="Hyperlink"/>
          </w:rPr>
          <w:t>2.</w:t>
        </w:r>
        <w:r w:rsidR="003A6569">
          <w:rPr>
            <w:rFonts w:asciiTheme="minorHAnsi" w:eastAsiaTheme="minorEastAsia" w:hAnsiTheme="minorHAnsi"/>
            <w:sz w:val="22"/>
            <w:szCs w:val="22"/>
            <w:lang w:eastAsia="nl-BE"/>
          </w:rPr>
          <w:tab/>
        </w:r>
        <w:r w:rsidR="003A6569" w:rsidRPr="002B7C5D">
          <w:rPr>
            <w:rStyle w:val="Hyperlink"/>
          </w:rPr>
          <w:t>Principe 2 – Behoeftebepaling, marktverkenning en een gepaste bekendmaking van opdrachten</w:t>
        </w:r>
        <w:r w:rsidR="003A6569">
          <w:rPr>
            <w:webHidden/>
          </w:rPr>
          <w:tab/>
        </w:r>
        <w:r w:rsidR="003A6569">
          <w:rPr>
            <w:webHidden/>
          </w:rPr>
          <w:fldChar w:fldCharType="begin"/>
        </w:r>
        <w:r w:rsidR="003A6569">
          <w:rPr>
            <w:webHidden/>
          </w:rPr>
          <w:instrText xml:space="preserve"> PAGEREF _Toc150870539 \h </w:instrText>
        </w:r>
        <w:r w:rsidR="003A6569">
          <w:rPr>
            <w:webHidden/>
          </w:rPr>
        </w:r>
        <w:r w:rsidR="003A6569">
          <w:rPr>
            <w:webHidden/>
          </w:rPr>
          <w:fldChar w:fldCharType="separate"/>
        </w:r>
        <w:r w:rsidR="000C4DFF">
          <w:rPr>
            <w:webHidden/>
          </w:rPr>
          <w:t>17</w:t>
        </w:r>
        <w:r w:rsidR="003A6569">
          <w:rPr>
            <w:webHidden/>
          </w:rPr>
          <w:fldChar w:fldCharType="end"/>
        </w:r>
      </w:hyperlink>
    </w:p>
    <w:p w14:paraId="393E5FFC" w14:textId="41B07FC5" w:rsidR="003A6569" w:rsidRDefault="00000000">
      <w:pPr>
        <w:pStyle w:val="Inhopg2"/>
        <w:rPr>
          <w:rFonts w:asciiTheme="minorHAnsi" w:eastAsiaTheme="minorEastAsia" w:hAnsiTheme="minorHAnsi"/>
          <w:noProof/>
          <w:sz w:val="22"/>
          <w:szCs w:val="22"/>
          <w:lang w:eastAsia="nl-BE"/>
        </w:rPr>
      </w:pPr>
      <w:hyperlink w:anchor="_Toc150870540" w:history="1">
        <w:r w:rsidR="003A6569" w:rsidRPr="002B7C5D">
          <w:rPr>
            <w:rStyle w:val="Hyperlink"/>
            <w:noProof/>
          </w:rPr>
          <w:t>2.1.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_Toc150870540 \h </w:instrText>
        </w:r>
        <w:r w:rsidR="003A6569">
          <w:rPr>
            <w:noProof/>
            <w:webHidden/>
          </w:rPr>
        </w:r>
        <w:r w:rsidR="003A6569">
          <w:rPr>
            <w:noProof/>
            <w:webHidden/>
          </w:rPr>
          <w:fldChar w:fldCharType="separate"/>
        </w:r>
        <w:r w:rsidR="000C4DFF">
          <w:rPr>
            <w:noProof/>
            <w:webHidden/>
          </w:rPr>
          <w:t>17</w:t>
        </w:r>
        <w:r w:rsidR="003A6569">
          <w:rPr>
            <w:noProof/>
            <w:webHidden/>
          </w:rPr>
          <w:fldChar w:fldCharType="end"/>
        </w:r>
      </w:hyperlink>
    </w:p>
    <w:p w14:paraId="28F508EF" w14:textId="62EC643D" w:rsidR="003A6569" w:rsidRDefault="00000000">
      <w:pPr>
        <w:pStyle w:val="Inhopg2"/>
        <w:rPr>
          <w:rFonts w:asciiTheme="minorHAnsi" w:eastAsiaTheme="minorEastAsia" w:hAnsiTheme="minorHAnsi"/>
          <w:noProof/>
          <w:sz w:val="22"/>
          <w:szCs w:val="22"/>
          <w:lang w:eastAsia="nl-BE"/>
        </w:rPr>
      </w:pPr>
      <w:hyperlink w:anchor="_Toc150870541" w:history="1">
        <w:r w:rsidR="003A6569" w:rsidRPr="002B7C5D">
          <w:rPr>
            <w:rStyle w:val="Hyperlink"/>
            <w:noProof/>
          </w:rPr>
          <w:t>2.2.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_Toc150870541 \h </w:instrText>
        </w:r>
        <w:r w:rsidR="003A6569">
          <w:rPr>
            <w:noProof/>
            <w:webHidden/>
          </w:rPr>
        </w:r>
        <w:r w:rsidR="003A6569">
          <w:rPr>
            <w:noProof/>
            <w:webHidden/>
          </w:rPr>
          <w:fldChar w:fldCharType="separate"/>
        </w:r>
        <w:r w:rsidR="000C4DFF">
          <w:rPr>
            <w:noProof/>
            <w:webHidden/>
          </w:rPr>
          <w:t>17</w:t>
        </w:r>
        <w:r w:rsidR="003A6569">
          <w:rPr>
            <w:noProof/>
            <w:webHidden/>
          </w:rPr>
          <w:fldChar w:fldCharType="end"/>
        </w:r>
      </w:hyperlink>
    </w:p>
    <w:p w14:paraId="5B64901D" w14:textId="0842C117" w:rsidR="003A6569" w:rsidRDefault="00000000">
      <w:pPr>
        <w:pStyle w:val="Inhopg2"/>
        <w:rPr>
          <w:rFonts w:asciiTheme="minorHAnsi" w:eastAsiaTheme="minorEastAsia" w:hAnsiTheme="minorHAnsi"/>
          <w:noProof/>
          <w:sz w:val="22"/>
          <w:szCs w:val="22"/>
          <w:lang w:eastAsia="nl-BE"/>
        </w:rPr>
      </w:pPr>
      <w:hyperlink w:anchor="_Toc150870542" w:history="1">
        <w:r w:rsidR="003A6569" w:rsidRPr="002B7C5D">
          <w:rPr>
            <w:rStyle w:val="Hyperlink"/>
            <w:noProof/>
          </w:rPr>
          <w:t>2.3.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_Toc150870542 \h </w:instrText>
        </w:r>
        <w:r w:rsidR="003A6569">
          <w:rPr>
            <w:noProof/>
            <w:webHidden/>
          </w:rPr>
        </w:r>
        <w:r w:rsidR="003A6569">
          <w:rPr>
            <w:noProof/>
            <w:webHidden/>
          </w:rPr>
          <w:fldChar w:fldCharType="separate"/>
        </w:r>
        <w:r w:rsidR="000C4DFF">
          <w:rPr>
            <w:noProof/>
            <w:webHidden/>
          </w:rPr>
          <w:t>17</w:t>
        </w:r>
        <w:r w:rsidR="003A6569">
          <w:rPr>
            <w:noProof/>
            <w:webHidden/>
          </w:rPr>
          <w:fldChar w:fldCharType="end"/>
        </w:r>
      </w:hyperlink>
    </w:p>
    <w:p w14:paraId="3BF999D4" w14:textId="1B4EC175" w:rsidR="003A6569" w:rsidRDefault="00000000">
      <w:pPr>
        <w:pStyle w:val="Inhopg3"/>
        <w:rPr>
          <w:rFonts w:asciiTheme="minorHAnsi" w:eastAsiaTheme="minorEastAsia" w:hAnsiTheme="minorHAnsi"/>
          <w:noProof/>
          <w:sz w:val="22"/>
          <w:szCs w:val="22"/>
          <w:lang w:eastAsia="nl-BE"/>
        </w:rPr>
      </w:pPr>
      <w:hyperlink w:anchor="_Toc150870543" w:history="1">
        <w:r w:rsidR="003A6569" w:rsidRPr="002B7C5D">
          <w:rPr>
            <w:rStyle w:val="Hyperlink"/>
            <w:noProof/>
          </w:rPr>
          <w:t>2.3.1.</w:t>
        </w:r>
        <w:r w:rsidR="003A6569">
          <w:rPr>
            <w:rFonts w:asciiTheme="minorHAnsi" w:eastAsiaTheme="minorEastAsia" w:hAnsiTheme="minorHAnsi"/>
            <w:noProof/>
            <w:sz w:val="22"/>
            <w:szCs w:val="22"/>
            <w:lang w:eastAsia="nl-BE"/>
          </w:rPr>
          <w:tab/>
        </w:r>
        <w:r w:rsidR="003A6569" w:rsidRPr="002B7C5D">
          <w:rPr>
            <w:rStyle w:val="Hyperlink"/>
            <w:noProof/>
          </w:rPr>
          <w:t>De behoeftebepaling</w:t>
        </w:r>
        <w:r w:rsidR="003A6569">
          <w:rPr>
            <w:noProof/>
            <w:webHidden/>
          </w:rPr>
          <w:tab/>
        </w:r>
        <w:r w:rsidR="003A6569">
          <w:rPr>
            <w:noProof/>
            <w:webHidden/>
          </w:rPr>
          <w:fldChar w:fldCharType="begin"/>
        </w:r>
        <w:r w:rsidR="003A6569">
          <w:rPr>
            <w:noProof/>
            <w:webHidden/>
          </w:rPr>
          <w:instrText xml:space="preserve"> PAGEREF _Toc150870543 \h </w:instrText>
        </w:r>
        <w:r w:rsidR="003A6569">
          <w:rPr>
            <w:noProof/>
            <w:webHidden/>
          </w:rPr>
        </w:r>
        <w:r w:rsidR="003A6569">
          <w:rPr>
            <w:noProof/>
            <w:webHidden/>
          </w:rPr>
          <w:fldChar w:fldCharType="separate"/>
        </w:r>
        <w:r w:rsidR="000C4DFF">
          <w:rPr>
            <w:noProof/>
            <w:webHidden/>
          </w:rPr>
          <w:t>17</w:t>
        </w:r>
        <w:r w:rsidR="003A6569">
          <w:rPr>
            <w:noProof/>
            <w:webHidden/>
          </w:rPr>
          <w:fldChar w:fldCharType="end"/>
        </w:r>
      </w:hyperlink>
    </w:p>
    <w:p w14:paraId="718F2611" w14:textId="068A43A0" w:rsidR="003A6569" w:rsidRDefault="00000000">
      <w:pPr>
        <w:pStyle w:val="Inhopg3"/>
        <w:rPr>
          <w:rFonts w:asciiTheme="minorHAnsi" w:eastAsiaTheme="minorEastAsia" w:hAnsiTheme="minorHAnsi"/>
          <w:noProof/>
          <w:sz w:val="22"/>
          <w:szCs w:val="22"/>
          <w:lang w:eastAsia="nl-BE"/>
        </w:rPr>
      </w:pPr>
      <w:hyperlink w:anchor="_Toc150870544" w:history="1">
        <w:r w:rsidR="003A6569" w:rsidRPr="002B7C5D">
          <w:rPr>
            <w:rStyle w:val="Hyperlink"/>
            <w:rFonts w:eastAsia="Lato"/>
            <w:noProof/>
          </w:rPr>
          <w:t>2.3.2.</w:t>
        </w:r>
        <w:r w:rsidR="003A6569">
          <w:rPr>
            <w:rFonts w:asciiTheme="minorHAnsi" w:eastAsiaTheme="minorEastAsia" w:hAnsiTheme="minorHAnsi"/>
            <w:noProof/>
            <w:sz w:val="22"/>
            <w:szCs w:val="22"/>
            <w:lang w:eastAsia="nl-BE"/>
          </w:rPr>
          <w:tab/>
        </w:r>
        <w:r w:rsidR="003A6569" w:rsidRPr="002B7C5D">
          <w:rPr>
            <w:rStyle w:val="Hyperlink"/>
            <w:rFonts w:eastAsia="Lato"/>
            <w:noProof/>
          </w:rPr>
          <w:t>De marktverkenning: voorafgaande marktconsultaties</w:t>
        </w:r>
        <w:r w:rsidR="003A6569">
          <w:rPr>
            <w:noProof/>
            <w:webHidden/>
          </w:rPr>
          <w:tab/>
        </w:r>
        <w:r w:rsidR="003A6569">
          <w:rPr>
            <w:noProof/>
            <w:webHidden/>
          </w:rPr>
          <w:fldChar w:fldCharType="begin"/>
        </w:r>
        <w:r w:rsidR="003A6569">
          <w:rPr>
            <w:noProof/>
            <w:webHidden/>
          </w:rPr>
          <w:instrText xml:space="preserve"> PAGEREF _Toc150870544 \h </w:instrText>
        </w:r>
        <w:r w:rsidR="003A6569">
          <w:rPr>
            <w:noProof/>
            <w:webHidden/>
          </w:rPr>
        </w:r>
        <w:r w:rsidR="003A6569">
          <w:rPr>
            <w:noProof/>
            <w:webHidden/>
          </w:rPr>
          <w:fldChar w:fldCharType="separate"/>
        </w:r>
        <w:r w:rsidR="000C4DFF">
          <w:rPr>
            <w:noProof/>
            <w:webHidden/>
          </w:rPr>
          <w:t>18</w:t>
        </w:r>
        <w:r w:rsidR="003A6569">
          <w:rPr>
            <w:noProof/>
            <w:webHidden/>
          </w:rPr>
          <w:fldChar w:fldCharType="end"/>
        </w:r>
      </w:hyperlink>
    </w:p>
    <w:p w14:paraId="1BB44207" w14:textId="1DE7E593" w:rsidR="003A6569" w:rsidRDefault="00000000">
      <w:pPr>
        <w:pStyle w:val="Inhopg3"/>
        <w:rPr>
          <w:rFonts w:asciiTheme="minorHAnsi" w:eastAsiaTheme="minorEastAsia" w:hAnsiTheme="minorHAnsi"/>
          <w:noProof/>
          <w:sz w:val="22"/>
          <w:szCs w:val="22"/>
          <w:lang w:eastAsia="nl-BE"/>
        </w:rPr>
      </w:pPr>
      <w:hyperlink w:anchor="_Toc150870545" w:history="1">
        <w:r w:rsidR="003A6569" w:rsidRPr="002B7C5D">
          <w:rPr>
            <w:rStyle w:val="Hyperlink"/>
            <w:rFonts w:eastAsia="Lato"/>
            <w:noProof/>
          </w:rPr>
          <w:t>2.3.3.</w:t>
        </w:r>
        <w:r w:rsidR="003A6569">
          <w:rPr>
            <w:rFonts w:asciiTheme="minorHAnsi" w:eastAsiaTheme="minorEastAsia" w:hAnsiTheme="minorHAnsi"/>
            <w:noProof/>
            <w:sz w:val="22"/>
            <w:szCs w:val="22"/>
            <w:lang w:eastAsia="nl-BE"/>
          </w:rPr>
          <w:tab/>
        </w:r>
        <w:r w:rsidR="003A6569" w:rsidRPr="002B7C5D">
          <w:rPr>
            <w:rStyle w:val="Hyperlink"/>
            <w:rFonts w:eastAsia="Lato"/>
            <w:noProof/>
          </w:rPr>
          <w:t>Een gepaste bekendmaking</w:t>
        </w:r>
        <w:r w:rsidR="003A6569">
          <w:rPr>
            <w:noProof/>
            <w:webHidden/>
          </w:rPr>
          <w:tab/>
        </w:r>
        <w:r w:rsidR="003A6569">
          <w:rPr>
            <w:noProof/>
            <w:webHidden/>
          </w:rPr>
          <w:fldChar w:fldCharType="begin"/>
        </w:r>
        <w:r w:rsidR="003A6569">
          <w:rPr>
            <w:noProof/>
            <w:webHidden/>
          </w:rPr>
          <w:instrText xml:space="preserve"> PAGEREF _Toc150870545 \h </w:instrText>
        </w:r>
        <w:r w:rsidR="003A6569">
          <w:rPr>
            <w:noProof/>
            <w:webHidden/>
          </w:rPr>
        </w:r>
        <w:r w:rsidR="003A6569">
          <w:rPr>
            <w:noProof/>
            <w:webHidden/>
          </w:rPr>
          <w:fldChar w:fldCharType="separate"/>
        </w:r>
        <w:r w:rsidR="000C4DFF">
          <w:rPr>
            <w:noProof/>
            <w:webHidden/>
          </w:rPr>
          <w:t>21</w:t>
        </w:r>
        <w:r w:rsidR="003A6569">
          <w:rPr>
            <w:noProof/>
            <w:webHidden/>
          </w:rPr>
          <w:fldChar w:fldCharType="end"/>
        </w:r>
      </w:hyperlink>
    </w:p>
    <w:p w14:paraId="6D55D717" w14:textId="2A7D3D8A" w:rsidR="003A6569" w:rsidRDefault="00000000">
      <w:pPr>
        <w:pStyle w:val="Inhopg3"/>
        <w:rPr>
          <w:rFonts w:asciiTheme="minorHAnsi" w:eastAsiaTheme="minorEastAsia" w:hAnsiTheme="minorHAnsi"/>
          <w:noProof/>
          <w:sz w:val="22"/>
          <w:szCs w:val="22"/>
          <w:lang w:eastAsia="nl-BE"/>
        </w:rPr>
      </w:pPr>
      <w:hyperlink w:anchor="_Toc150870546" w:history="1">
        <w:r w:rsidR="003A6569" w:rsidRPr="002B7C5D">
          <w:rPr>
            <w:rStyle w:val="Hyperlink"/>
            <w:noProof/>
          </w:rPr>
          <w:t>2.3.4.</w:t>
        </w:r>
        <w:r w:rsidR="003A6569">
          <w:rPr>
            <w:rFonts w:asciiTheme="minorHAnsi" w:eastAsiaTheme="minorEastAsia" w:hAnsiTheme="minorHAnsi"/>
            <w:noProof/>
            <w:sz w:val="22"/>
            <w:szCs w:val="22"/>
            <w:lang w:eastAsia="nl-BE"/>
          </w:rPr>
          <w:tab/>
        </w:r>
        <w:r w:rsidR="003A6569" w:rsidRPr="002B7C5D">
          <w:rPr>
            <w:rStyle w:val="Hyperlink"/>
            <w:noProof/>
          </w:rPr>
          <w:t>Termijnen, visitekaartjes en zoekprofielen</w:t>
        </w:r>
        <w:r w:rsidR="003A6569">
          <w:rPr>
            <w:noProof/>
            <w:webHidden/>
          </w:rPr>
          <w:tab/>
        </w:r>
        <w:r w:rsidR="003A6569">
          <w:rPr>
            <w:noProof/>
            <w:webHidden/>
          </w:rPr>
          <w:fldChar w:fldCharType="begin"/>
        </w:r>
        <w:r w:rsidR="003A6569">
          <w:rPr>
            <w:noProof/>
            <w:webHidden/>
          </w:rPr>
          <w:instrText xml:space="preserve"> PAGEREF _Toc150870546 \h </w:instrText>
        </w:r>
        <w:r w:rsidR="003A6569">
          <w:rPr>
            <w:noProof/>
            <w:webHidden/>
          </w:rPr>
        </w:r>
        <w:r w:rsidR="003A6569">
          <w:rPr>
            <w:noProof/>
            <w:webHidden/>
          </w:rPr>
          <w:fldChar w:fldCharType="separate"/>
        </w:r>
        <w:r w:rsidR="000C4DFF">
          <w:rPr>
            <w:noProof/>
            <w:webHidden/>
          </w:rPr>
          <w:t>24</w:t>
        </w:r>
        <w:r w:rsidR="003A6569">
          <w:rPr>
            <w:noProof/>
            <w:webHidden/>
          </w:rPr>
          <w:fldChar w:fldCharType="end"/>
        </w:r>
      </w:hyperlink>
    </w:p>
    <w:p w14:paraId="11297150" w14:textId="448EC03A" w:rsidR="003A6569" w:rsidRDefault="00000000">
      <w:pPr>
        <w:pStyle w:val="Inhopg2"/>
        <w:rPr>
          <w:rFonts w:asciiTheme="minorHAnsi" w:eastAsiaTheme="minorEastAsia" w:hAnsiTheme="minorHAnsi"/>
          <w:noProof/>
          <w:sz w:val="22"/>
          <w:szCs w:val="22"/>
          <w:lang w:eastAsia="nl-BE"/>
        </w:rPr>
      </w:pPr>
      <w:hyperlink w:anchor="_Toc150870547" w:history="1">
        <w:r w:rsidR="003A6569" w:rsidRPr="002B7C5D">
          <w:rPr>
            <w:rStyle w:val="Hyperlink"/>
            <w:noProof/>
          </w:rPr>
          <w:t>2.4.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_Toc150870547 \h </w:instrText>
        </w:r>
        <w:r w:rsidR="003A6569">
          <w:rPr>
            <w:noProof/>
            <w:webHidden/>
          </w:rPr>
        </w:r>
        <w:r w:rsidR="003A6569">
          <w:rPr>
            <w:noProof/>
            <w:webHidden/>
          </w:rPr>
          <w:fldChar w:fldCharType="separate"/>
        </w:r>
        <w:r w:rsidR="000C4DFF">
          <w:rPr>
            <w:noProof/>
            <w:webHidden/>
          </w:rPr>
          <w:t>25</w:t>
        </w:r>
        <w:r w:rsidR="003A6569">
          <w:rPr>
            <w:noProof/>
            <w:webHidden/>
          </w:rPr>
          <w:fldChar w:fldCharType="end"/>
        </w:r>
      </w:hyperlink>
    </w:p>
    <w:p w14:paraId="7DECC986" w14:textId="1A96125D" w:rsidR="003A6569" w:rsidRDefault="00000000">
      <w:pPr>
        <w:pStyle w:val="Inhopg1"/>
        <w:rPr>
          <w:rFonts w:asciiTheme="minorHAnsi" w:eastAsiaTheme="minorEastAsia" w:hAnsiTheme="minorHAnsi"/>
          <w:sz w:val="22"/>
          <w:szCs w:val="22"/>
          <w:lang w:eastAsia="nl-BE"/>
        </w:rPr>
      </w:pPr>
      <w:hyperlink w:anchor="_Toc150870548" w:history="1">
        <w:r w:rsidR="003A6569" w:rsidRPr="002B7C5D">
          <w:rPr>
            <w:rStyle w:val="Hyperlink"/>
          </w:rPr>
          <w:t>3.</w:t>
        </w:r>
        <w:r w:rsidR="003A6569">
          <w:rPr>
            <w:rFonts w:asciiTheme="minorHAnsi" w:eastAsiaTheme="minorEastAsia" w:hAnsiTheme="minorHAnsi"/>
            <w:sz w:val="22"/>
            <w:szCs w:val="22"/>
            <w:lang w:eastAsia="nl-BE"/>
          </w:rPr>
          <w:tab/>
        </w:r>
        <w:r w:rsidR="003A6569" w:rsidRPr="002B7C5D">
          <w:rPr>
            <w:rStyle w:val="Hyperlink"/>
          </w:rPr>
          <w:t>Principe 3 – Toepassing van de twee- of meerfasige procedures en van de procedures met onderhandelings- of dialoogelementen</w:t>
        </w:r>
        <w:r w:rsidR="003A6569">
          <w:rPr>
            <w:webHidden/>
          </w:rPr>
          <w:tab/>
        </w:r>
        <w:r w:rsidR="003A6569">
          <w:rPr>
            <w:webHidden/>
          </w:rPr>
          <w:fldChar w:fldCharType="begin"/>
        </w:r>
        <w:r w:rsidR="003A6569">
          <w:rPr>
            <w:webHidden/>
          </w:rPr>
          <w:instrText xml:space="preserve"> PAGEREF _Toc150870548 \h </w:instrText>
        </w:r>
        <w:r w:rsidR="003A6569">
          <w:rPr>
            <w:webHidden/>
          </w:rPr>
        </w:r>
        <w:r w:rsidR="003A6569">
          <w:rPr>
            <w:webHidden/>
          </w:rPr>
          <w:fldChar w:fldCharType="separate"/>
        </w:r>
        <w:r w:rsidR="000C4DFF">
          <w:rPr>
            <w:webHidden/>
          </w:rPr>
          <w:t>25</w:t>
        </w:r>
        <w:r w:rsidR="003A6569">
          <w:rPr>
            <w:webHidden/>
          </w:rPr>
          <w:fldChar w:fldCharType="end"/>
        </w:r>
      </w:hyperlink>
    </w:p>
    <w:p w14:paraId="7FFC141C" w14:textId="04C02ABA" w:rsidR="003A6569" w:rsidRDefault="00000000">
      <w:pPr>
        <w:pStyle w:val="Inhopg2"/>
        <w:rPr>
          <w:rFonts w:asciiTheme="minorHAnsi" w:eastAsiaTheme="minorEastAsia" w:hAnsiTheme="minorHAnsi"/>
          <w:noProof/>
          <w:sz w:val="22"/>
          <w:szCs w:val="22"/>
          <w:lang w:eastAsia="nl-BE"/>
        </w:rPr>
      </w:pPr>
      <w:hyperlink w:anchor="_Toc150870549" w:history="1">
        <w:r w:rsidR="003A6569" w:rsidRPr="002B7C5D">
          <w:rPr>
            <w:rStyle w:val="Hyperlink"/>
            <w:noProof/>
          </w:rPr>
          <w:t>3.1.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_Toc150870549 \h </w:instrText>
        </w:r>
        <w:r w:rsidR="003A6569">
          <w:rPr>
            <w:noProof/>
            <w:webHidden/>
          </w:rPr>
        </w:r>
        <w:r w:rsidR="003A6569">
          <w:rPr>
            <w:noProof/>
            <w:webHidden/>
          </w:rPr>
          <w:fldChar w:fldCharType="separate"/>
        </w:r>
        <w:r w:rsidR="000C4DFF">
          <w:rPr>
            <w:noProof/>
            <w:webHidden/>
          </w:rPr>
          <w:t>25</w:t>
        </w:r>
        <w:r w:rsidR="003A6569">
          <w:rPr>
            <w:noProof/>
            <w:webHidden/>
          </w:rPr>
          <w:fldChar w:fldCharType="end"/>
        </w:r>
      </w:hyperlink>
    </w:p>
    <w:p w14:paraId="049C6EE3" w14:textId="6DB4E836" w:rsidR="003A6569" w:rsidRDefault="00000000">
      <w:pPr>
        <w:pStyle w:val="Inhopg2"/>
        <w:rPr>
          <w:rFonts w:asciiTheme="minorHAnsi" w:eastAsiaTheme="minorEastAsia" w:hAnsiTheme="minorHAnsi"/>
          <w:noProof/>
          <w:sz w:val="22"/>
          <w:szCs w:val="22"/>
          <w:lang w:eastAsia="nl-BE"/>
        </w:rPr>
      </w:pPr>
      <w:hyperlink w:anchor="_Toc150870550" w:history="1">
        <w:r w:rsidR="003A6569" w:rsidRPr="002B7C5D">
          <w:rPr>
            <w:rStyle w:val="Hyperlink"/>
            <w:noProof/>
          </w:rPr>
          <w:t>3.2.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_Toc150870550 \h </w:instrText>
        </w:r>
        <w:r w:rsidR="003A6569">
          <w:rPr>
            <w:noProof/>
            <w:webHidden/>
          </w:rPr>
        </w:r>
        <w:r w:rsidR="003A6569">
          <w:rPr>
            <w:noProof/>
            <w:webHidden/>
          </w:rPr>
          <w:fldChar w:fldCharType="separate"/>
        </w:r>
        <w:r w:rsidR="000C4DFF">
          <w:rPr>
            <w:noProof/>
            <w:webHidden/>
          </w:rPr>
          <w:t>26</w:t>
        </w:r>
        <w:r w:rsidR="003A6569">
          <w:rPr>
            <w:noProof/>
            <w:webHidden/>
          </w:rPr>
          <w:fldChar w:fldCharType="end"/>
        </w:r>
      </w:hyperlink>
    </w:p>
    <w:p w14:paraId="00569F8F" w14:textId="5B5B8696" w:rsidR="003A6569" w:rsidRDefault="00000000">
      <w:pPr>
        <w:pStyle w:val="Inhopg2"/>
        <w:rPr>
          <w:rFonts w:asciiTheme="minorHAnsi" w:eastAsiaTheme="minorEastAsia" w:hAnsiTheme="minorHAnsi"/>
          <w:noProof/>
          <w:sz w:val="22"/>
          <w:szCs w:val="22"/>
          <w:lang w:eastAsia="nl-BE"/>
        </w:rPr>
      </w:pPr>
      <w:hyperlink w:anchor="_Toc150870551" w:history="1">
        <w:r w:rsidR="003A6569" w:rsidRPr="002B7C5D">
          <w:rPr>
            <w:rStyle w:val="Hyperlink"/>
            <w:noProof/>
          </w:rPr>
          <w:t>3.3.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_Toc150870551 \h </w:instrText>
        </w:r>
        <w:r w:rsidR="003A6569">
          <w:rPr>
            <w:noProof/>
            <w:webHidden/>
          </w:rPr>
        </w:r>
        <w:r w:rsidR="003A6569">
          <w:rPr>
            <w:noProof/>
            <w:webHidden/>
          </w:rPr>
          <w:fldChar w:fldCharType="separate"/>
        </w:r>
        <w:r w:rsidR="000C4DFF">
          <w:rPr>
            <w:noProof/>
            <w:webHidden/>
          </w:rPr>
          <w:t>27</w:t>
        </w:r>
        <w:r w:rsidR="003A6569">
          <w:rPr>
            <w:noProof/>
            <w:webHidden/>
          </w:rPr>
          <w:fldChar w:fldCharType="end"/>
        </w:r>
      </w:hyperlink>
    </w:p>
    <w:p w14:paraId="1633E10E" w14:textId="7F254689" w:rsidR="003A6569" w:rsidRDefault="00000000">
      <w:pPr>
        <w:pStyle w:val="Inhopg3"/>
        <w:rPr>
          <w:rFonts w:asciiTheme="minorHAnsi" w:eastAsiaTheme="minorEastAsia" w:hAnsiTheme="minorHAnsi"/>
          <w:noProof/>
          <w:sz w:val="22"/>
          <w:szCs w:val="22"/>
          <w:lang w:eastAsia="nl-BE"/>
        </w:rPr>
      </w:pPr>
      <w:hyperlink w:anchor="_Toc150870552" w:history="1">
        <w:r w:rsidR="003A6569" w:rsidRPr="002B7C5D">
          <w:rPr>
            <w:rStyle w:val="Hyperlink"/>
            <w:noProof/>
          </w:rPr>
          <w:t>3.3.1.</w:t>
        </w:r>
        <w:r w:rsidR="003A6569">
          <w:rPr>
            <w:rFonts w:asciiTheme="minorHAnsi" w:eastAsiaTheme="minorEastAsia" w:hAnsiTheme="minorHAnsi"/>
            <w:noProof/>
            <w:sz w:val="22"/>
            <w:szCs w:val="22"/>
            <w:lang w:eastAsia="nl-BE"/>
          </w:rPr>
          <w:tab/>
        </w:r>
        <w:r w:rsidR="003A6569" w:rsidRPr="002B7C5D">
          <w:rPr>
            <w:rStyle w:val="Hyperlink"/>
            <w:noProof/>
          </w:rPr>
          <w:t>Meerfasige procedure met onderhandeling/dialoog: voordelen</w:t>
        </w:r>
        <w:r w:rsidR="003A6569">
          <w:rPr>
            <w:noProof/>
            <w:webHidden/>
          </w:rPr>
          <w:tab/>
        </w:r>
        <w:r w:rsidR="003A6569">
          <w:rPr>
            <w:noProof/>
            <w:webHidden/>
          </w:rPr>
          <w:fldChar w:fldCharType="begin"/>
        </w:r>
        <w:r w:rsidR="003A6569">
          <w:rPr>
            <w:noProof/>
            <w:webHidden/>
          </w:rPr>
          <w:instrText xml:space="preserve"> PAGEREF _Toc150870552 \h </w:instrText>
        </w:r>
        <w:r w:rsidR="003A6569">
          <w:rPr>
            <w:noProof/>
            <w:webHidden/>
          </w:rPr>
        </w:r>
        <w:r w:rsidR="003A6569">
          <w:rPr>
            <w:noProof/>
            <w:webHidden/>
          </w:rPr>
          <w:fldChar w:fldCharType="separate"/>
        </w:r>
        <w:r w:rsidR="000C4DFF">
          <w:rPr>
            <w:noProof/>
            <w:webHidden/>
          </w:rPr>
          <w:t>27</w:t>
        </w:r>
        <w:r w:rsidR="003A6569">
          <w:rPr>
            <w:noProof/>
            <w:webHidden/>
          </w:rPr>
          <w:fldChar w:fldCharType="end"/>
        </w:r>
      </w:hyperlink>
    </w:p>
    <w:p w14:paraId="5F4DA117" w14:textId="01D81498" w:rsidR="003A6569" w:rsidRDefault="00000000">
      <w:pPr>
        <w:pStyle w:val="Inhopg3"/>
        <w:rPr>
          <w:rFonts w:asciiTheme="minorHAnsi" w:eastAsiaTheme="minorEastAsia" w:hAnsiTheme="minorHAnsi"/>
          <w:noProof/>
          <w:sz w:val="22"/>
          <w:szCs w:val="22"/>
          <w:lang w:eastAsia="nl-BE"/>
        </w:rPr>
      </w:pPr>
      <w:hyperlink w:anchor="_Toc150870553" w:history="1">
        <w:r w:rsidR="003A6569" w:rsidRPr="002B7C5D">
          <w:rPr>
            <w:rStyle w:val="Hyperlink"/>
            <w:noProof/>
          </w:rPr>
          <w:t>3.3.2.</w:t>
        </w:r>
        <w:r w:rsidR="003A6569">
          <w:rPr>
            <w:rFonts w:asciiTheme="minorHAnsi" w:eastAsiaTheme="minorEastAsia" w:hAnsiTheme="minorHAnsi"/>
            <w:noProof/>
            <w:sz w:val="22"/>
            <w:szCs w:val="22"/>
            <w:lang w:eastAsia="nl-BE"/>
          </w:rPr>
          <w:tab/>
        </w:r>
        <w:r w:rsidR="003A6569" w:rsidRPr="002B7C5D">
          <w:rPr>
            <w:rStyle w:val="Hyperlink"/>
            <w:noProof/>
          </w:rPr>
          <w:t>Meerfasige procedures met onderhandelingen of dialoog</w:t>
        </w:r>
        <w:r w:rsidR="003A6569">
          <w:rPr>
            <w:noProof/>
            <w:webHidden/>
          </w:rPr>
          <w:tab/>
        </w:r>
        <w:r w:rsidR="003A6569">
          <w:rPr>
            <w:noProof/>
            <w:webHidden/>
          </w:rPr>
          <w:fldChar w:fldCharType="begin"/>
        </w:r>
        <w:r w:rsidR="003A6569">
          <w:rPr>
            <w:noProof/>
            <w:webHidden/>
          </w:rPr>
          <w:instrText xml:space="preserve"> PAGEREF _Toc150870553 \h </w:instrText>
        </w:r>
        <w:r w:rsidR="003A6569">
          <w:rPr>
            <w:noProof/>
            <w:webHidden/>
          </w:rPr>
        </w:r>
        <w:r w:rsidR="003A6569">
          <w:rPr>
            <w:noProof/>
            <w:webHidden/>
          </w:rPr>
          <w:fldChar w:fldCharType="separate"/>
        </w:r>
        <w:r w:rsidR="000C4DFF">
          <w:rPr>
            <w:noProof/>
            <w:webHidden/>
          </w:rPr>
          <w:t>28</w:t>
        </w:r>
        <w:r w:rsidR="003A6569">
          <w:rPr>
            <w:noProof/>
            <w:webHidden/>
          </w:rPr>
          <w:fldChar w:fldCharType="end"/>
        </w:r>
      </w:hyperlink>
    </w:p>
    <w:p w14:paraId="4029D0BE" w14:textId="1DA44618" w:rsidR="003A6569" w:rsidRDefault="00000000">
      <w:pPr>
        <w:pStyle w:val="Inhopg3"/>
        <w:rPr>
          <w:rFonts w:asciiTheme="minorHAnsi" w:eastAsiaTheme="minorEastAsia" w:hAnsiTheme="minorHAnsi"/>
          <w:noProof/>
          <w:sz w:val="22"/>
          <w:szCs w:val="22"/>
          <w:lang w:eastAsia="nl-BE"/>
        </w:rPr>
      </w:pPr>
      <w:hyperlink w:anchor="_Toc150870554" w:history="1">
        <w:r w:rsidR="003A6569" w:rsidRPr="002B7C5D">
          <w:rPr>
            <w:rStyle w:val="Hyperlink"/>
            <w:noProof/>
          </w:rPr>
          <w:t>3.3.3.</w:t>
        </w:r>
        <w:r w:rsidR="003A6569">
          <w:rPr>
            <w:rFonts w:asciiTheme="minorHAnsi" w:eastAsiaTheme="minorEastAsia" w:hAnsiTheme="minorHAnsi"/>
            <w:noProof/>
            <w:sz w:val="22"/>
            <w:szCs w:val="22"/>
            <w:lang w:eastAsia="nl-BE"/>
          </w:rPr>
          <w:tab/>
        </w:r>
        <w:r w:rsidR="003A6569" w:rsidRPr="002B7C5D">
          <w:rPr>
            <w:rStyle w:val="Hyperlink"/>
            <w:noProof/>
          </w:rPr>
          <w:t>Meerfasige procedures zonder onderhandeling of dialoog: de niet-openbare procedure</w:t>
        </w:r>
        <w:r w:rsidR="003A6569">
          <w:rPr>
            <w:noProof/>
            <w:webHidden/>
          </w:rPr>
          <w:tab/>
        </w:r>
        <w:r w:rsidR="003A6569">
          <w:rPr>
            <w:noProof/>
            <w:webHidden/>
          </w:rPr>
          <w:fldChar w:fldCharType="begin"/>
        </w:r>
        <w:r w:rsidR="003A6569">
          <w:rPr>
            <w:noProof/>
            <w:webHidden/>
          </w:rPr>
          <w:instrText xml:space="preserve"> PAGEREF _Toc150870554 \h </w:instrText>
        </w:r>
        <w:r w:rsidR="003A6569">
          <w:rPr>
            <w:noProof/>
            <w:webHidden/>
          </w:rPr>
        </w:r>
        <w:r w:rsidR="003A6569">
          <w:rPr>
            <w:noProof/>
            <w:webHidden/>
          </w:rPr>
          <w:fldChar w:fldCharType="separate"/>
        </w:r>
        <w:r w:rsidR="000C4DFF">
          <w:rPr>
            <w:noProof/>
            <w:webHidden/>
          </w:rPr>
          <w:t>31</w:t>
        </w:r>
        <w:r w:rsidR="003A6569">
          <w:rPr>
            <w:noProof/>
            <w:webHidden/>
          </w:rPr>
          <w:fldChar w:fldCharType="end"/>
        </w:r>
      </w:hyperlink>
    </w:p>
    <w:p w14:paraId="1F39EFD4" w14:textId="2688B874" w:rsidR="003A6569" w:rsidRDefault="00000000">
      <w:pPr>
        <w:pStyle w:val="Inhopg2"/>
        <w:rPr>
          <w:rFonts w:asciiTheme="minorHAnsi" w:eastAsiaTheme="minorEastAsia" w:hAnsiTheme="minorHAnsi"/>
          <w:noProof/>
          <w:sz w:val="22"/>
          <w:szCs w:val="22"/>
          <w:lang w:eastAsia="nl-BE"/>
        </w:rPr>
      </w:pPr>
      <w:hyperlink w:anchor="_Toc150870555" w:history="1">
        <w:r w:rsidR="003A6569" w:rsidRPr="002B7C5D">
          <w:rPr>
            <w:rStyle w:val="Hyperlink"/>
            <w:noProof/>
          </w:rPr>
          <w:t>3.4.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_Toc150870555 \h </w:instrText>
        </w:r>
        <w:r w:rsidR="003A6569">
          <w:rPr>
            <w:noProof/>
            <w:webHidden/>
          </w:rPr>
        </w:r>
        <w:r w:rsidR="003A6569">
          <w:rPr>
            <w:noProof/>
            <w:webHidden/>
          </w:rPr>
          <w:fldChar w:fldCharType="separate"/>
        </w:r>
        <w:r w:rsidR="000C4DFF">
          <w:rPr>
            <w:noProof/>
            <w:webHidden/>
          </w:rPr>
          <w:t>32</w:t>
        </w:r>
        <w:r w:rsidR="003A6569">
          <w:rPr>
            <w:noProof/>
            <w:webHidden/>
          </w:rPr>
          <w:fldChar w:fldCharType="end"/>
        </w:r>
      </w:hyperlink>
    </w:p>
    <w:p w14:paraId="0CB25396" w14:textId="68E72F76" w:rsidR="003A6569" w:rsidRDefault="00000000">
      <w:pPr>
        <w:pStyle w:val="Inhopg1"/>
        <w:rPr>
          <w:rFonts w:asciiTheme="minorHAnsi" w:eastAsiaTheme="minorEastAsia" w:hAnsiTheme="minorHAnsi"/>
          <w:sz w:val="22"/>
          <w:szCs w:val="22"/>
          <w:lang w:eastAsia="nl-BE"/>
        </w:rPr>
      </w:pPr>
      <w:hyperlink w:anchor="_Toc150870556" w:history="1">
        <w:r w:rsidR="003A6569" w:rsidRPr="002B7C5D">
          <w:rPr>
            <w:rStyle w:val="Hyperlink"/>
          </w:rPr>
          <w:t>4.</w:t>
        </w:r>
        <w:r w:rsidR="003A6569">
          <w:rPr>
            <w:rFonts w:asciiTheme="minorHAnsi" w:eastAsiaTheme="minorEastAsia" w:hAnsiTheme="minorHAnsi"/>
            <w:sz w:val="22"/>
            <w:szCs w:val="22"/>
            <w:lang w:eastAsia="nl-BE"/>
          </w:rPr>
          <w:tab/>
        </w:r>
        <w:r w:rsidR="003A6569" w:rsidRPr="002B7C5D">
          <w:rPr>
            <w:rStyle w:val="Hyperlink"/>
          </w:rPr>
          <w:t>Principe 4 – Proportionele minimumeisen in het technische bestek</w:t>
        </w:r>
        <w:r w:rsidR="003A6569">
          <w:rPr>
            <w:webHidden/>
          </w:rPr>
          <w:tab/>
        </w:r>
        <w:r w:rsidR="003A6569">
          <w:rPr>
            <w:webHidden/>
          </w:rPr>
          <w:fldChar w:fldCharType="begin"/>
        </w:r>
        <w:r w:rsidR="003A6569">
          <w:rPr>
            <w:webHidden/>
          </w:rPr>
          <w:instrText xml:space="preserve"> PAGEREF _Toc150870556 \h </w:instrText>
        </w:r>
        <w:r w:rsidR="003A6569">
          <w:rPr>
            <w:webHidden/>
          </w:rPr>
        </w:r>
        <w:r w:rsidR="003A6569">
          <w:rPr>
            <w:webHidden/>
          </w:rPr>
          <w:fldChar w:fldCharType="separate"/>
        </w:r>
        <w:r w:rsidR="000C4DFF">
          <w:rPr>
            <w:webHidden/>
          </w:rPr>
          <w:t>33</w:t>
        </w:r>
        <w:r w:rsidR="003A6569">
          <w:rPr>
            <w:webHidden/>
          </w:rPr>
          <w:fldChar w:fldCharType="end"/>
        </w:r>
      </w:hyperlink>
    </w:p>
    <w:p w14:paraId="303D647B" w14:textId="1B21AF5B" w:rsidR="003A6569" w:rsidRDefault="00000000">
      <w:pPr>
        <w:pStyle w:val="Inhopg2"/>
        <w:rPr>
          <w:rFonts w:asciiTheme="minorHAnsi" w:eastAsiaTheme="minorEastAsia" w:hAnsiTheme="minorHAnsi"/>
          <w:noProof/>
          <w:sz w:val="22"/>
          <w:szCs w:val="22"/>
          <w:lang w:eastAsia="nl-BE"/>
        </w:rPr>
      </w:pPr>
      <w:hyperlink w:anchor="_Toc150870557" w:history="1">
        <w:r w:rsidR="003A6569" w:rsidRPr="002B7C5D">
          <w:rPr>
            <w:rStyle w:val="Hyperlink"/>
            <w:noProof/>
          </w:rPr>
          <w:t>4.1.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_Toc150870557 \h </w:instrText>
        </w:r>
        <w:r w:rsidR="003A6569">
          <w:rPr>
            <w:noProof/>
            <w:webHidden/>
          </w:rPr>
        </w:r>
        <w:r w:rsidR="003A6569">
          <w:rPr>
            <w:noProof/>
            <w:webHidden/>
          </w:rPr>
          <w:fldChar w:fldCharType="separate"/>
        </w:r>
        <w:r w:rsidR="000C4DFF">
          <w:rPr>
            <w:noProof/>
            <w:webHidden/>
          </w:rPr>
          <w:t>33</w:t>
        </w:r>
        <w:r w:rsidR="003A6569">
          <w:rPr>
            <w:noProof/>
            <w:webHidden/>
          </w:rPr>
          <w:fldChar w:fldCharType="end"/>
        </w:r>
      </w:hyperlink>
    </w:p>
    <w:p w14:paraId="3E4484FF" w14:textId="1DC208E7" w:rsidR="003A6569" w:rsidRDefault="00000000">
      <w:pPr>
        <w:pStyle w:val="Inhopg2"/>
        <w:rPr>
          <w:rFonts w:asciiTheme="minorHAnsi" w:eastAsiaTheme="minorEastAsia" w:hAnsiTheme="minorHAnsi"/>
          <w:noProof/>
          <w:sz w:val="22"/>
          <w:szCs w:val="22"/>
          <w:lang w:eastAsia="nl-BE"/>
        </w:rPr>
      </w:pPr>
      <w:hyperlink w:anchor="_Toc150870558" w:history="1">
        <w:r w:rsidR="003A6569" w:rsidRPr="002B7C5D">
          <w:rPr>
            <w:rStyle w:val="Hyperlink"/>
            <w:noProof/>
          </w:rPr>
          <w:t>4.2.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_Toc150870558 \h </w:instrText>
        </w:r>
        <w:r w:rsidR="003A6569">
          <w:rPr>
            <w:noProof/>
            <w:webHidden/>
          </w:rPr>
        </w:r>
        <w:r w:rsidR="003A6569">
          <w:rPr>
            <w:noProof/>
            <w:webHidden/>
          </w:rPr>
          <w:fldChar w:fldCharType="separate"/>
        </w:r>
        <w:r w:rsidR="000C4DFF">
          <w:rPr>
            <w:noProof/>
            <w:webHidden/>
          </w:rPr>
          <w:t>33</w:t>
        </w:r>
        <w:r w:rsidR="003A6569">
          <w:rPr>
            <w:noProof/>
            <w:webHidden/>
          </w:rPr>
          <w:fldChar w:fldCharType="end"/>
        </w:r>
      </w:hyperlink>
    </w:p>
    <w:p w14:paraId="65AEFAF5" w14:textId="19898739" w:rsidR="003A6569" w:rsidRDefault="00000000">
      <w:pPr>
        <w:pStyle w:val="Inhopg2"/>
        <w:rPr>
          <w:rFonts w:asciiTheme="minorHAnsi" w:eastAsiaTheme="minorEastAsia" w:hAnsiTheme="minorHAnsi"/>
          <w:noProof/>
          <w:sz w:val="22"/>
          <w:szCs w:val="22"/>
          <w:lang w:eastAsia="nl-BE"/>
        </w:rPr>
      </w:pPr>
      <w:hyperlink w:anchor="_Toc150870559" w:history="1">
        <w:r w:rsidR="003A6569" w:rsidRPr="002B7C5D">
          <w:rPr>
            <w:rStyle w:val="Hyperlink"/>
            <w:noProof/>
          </w:rPr>
          <w:t>4.3.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_Toc150870559 \h </w:instrText>
        </w:r>
        <w:r w:rsidR="003A6569">
          <w:rPr>
            <w:noProof/>
            <w:webHidden/>
          </w:rPr>
        </w:r>
        <w:r w:rsidR="003A6569">
          <w:rPr>
            <w:noProof/>
            <w:webHidden/>
          </w:rPr>
          <w:fldChar w:fldCharType="separate"/>
        </w:r>
        <w:r w:rsidR="000C4DFF">
          <w:rPr>
            <w:noProof/>
            <w:webHidden/>
          </w:rPr>
          <w:t>34</w:t>
        </w:r>
        <w:r w:rsidR="003A6569">
          <w:rPr>
            <w:noProof/>
            <w:webHidden/>
          </w:rPr>
          <w:fldChar w:fldCharType="end"/>
        </w:r>
      </w:hyperlink>
    </w:p>
    <w:p w14:paraId="04DE7E6C" w14:textId="6B42F81A" w:rsidR="003A6569" w:rsidRDefault="00000000">
      <w:pPr>
        <w:pStyle w:val="Inhopg2"/>
        <w:rPr>
          <w:rFonts w:asciiTheme="minorHAnsi" w:eastAsiaTheme="minorEastAsia" w:hAnsiTheme="minorHAnsi"/>
          <w:noProof/>
          <w:sz w:val="22"/>
          <w:szCs w:val="22"/>
          <w:lang w:eastAsia="nl-BE"/>
        </w:rPr>
      </w:pPr>
      <w:hyperlink w:anchor="_Toc150870560" w:history="1">
        <w:r w:rsidR="003A6569" w:rsidRPr="002B7C5D">
          <w:rPr>
            <w:rStyle w:val="Hyperlink"/>
            <w:noProof/>
          </w:rPr>
          <w:t>4.4.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_Toc150870560 \h </w:instrText>
        </w:r>
        <w:r w:rsidR="003A6569">
          <w:rPr>
            <w:noProof/>
            <w:webHidden/>
          </w:rPr>
        </w:r>
        <w:r w:rsidR="003A6569">
          <w:rPr>
            <w:noProof/>
            <w:webHidden/>
          </w:rPr>
          <w:fldChar w:fldCharType="separate"/>
        </w:r>
        <w:r w:rsidR="000C4DFF">
          <w:rPr>
            <w:noProof/>
            <w:webHidden/>
          </w:rPr>
          <w:t>35</w:t>
        </w:r>
        <w:r w:rsidR="003A6569">
          <w:rPr>
            <w:noProof/>
            <w:webHidden/>
          </w:rPr>
          <w:fldChar w:fldCharType="end"/>
        </w:r>
      </w:hyperlink>
    </w:p>
    <w:p w14:paraId="66A49A8C" w14:textId="1F7E42E3" w:rsidR="003A6569" w:rsidRDefault="00000000">
      <w:pPr>
        <w:pStyle w:val="Inhopg1"/>
        <w:rPr>
          <w:rFonts w:asciiTheme="minorHAnsi" w:eastAsiaTheme="minorEastAsia" w:hAnsiTheme="minorHAnsi"/>
          <w:sz w:val="22"/>
          <w:szCs w:val="22"/>
          <w:lang w:eastAsia="nl-BE"/>
        </w:rPr>
      </w:pPr>
      <w:hyperlink w:anchor="_Toc150870561" w:history="1">
        <w:r w:rsidR="003A6569" w:rsidRPr="002B7C5D">
          <w:rPr>
            <w:rStyle w:val="Hyperlink"/>
          </w:rPr>
          <w:t>5.</w:t>
        </w:r>
        <w:r w:rsidR="003A6569">
          <w:rPr>
            <w:rFonts w:asciiTheme="minorHAnsi" w:eastAsiaTheme="minorEastAsia" w:hAnsiTheme="minorHAnsi"/>
            <w:sz w:val="22"/>
            <w:szCs w:val="22"/>
            <w:lang w:eastAsia="nl-BE"/>
          </w:rPr>
          <w:tab/>
        </w:r>
        <w:r w:rsidR="003A6569" w:rsidRPr="002B7C5D">
          <w:rPr>
            <w:rStyle w:val="Hyperlink"/>
          </w:rPr>
          <w:t>Principe 5 – Voorzien in een adequate bescherming van de rechten op intellectuele eigendom</w:t>
        </w:r>
        <w:r w:rsidR="003A6569">
          <w:rPr>
            <w:webHidden/>
          </w:rPr>
          <w:tab/>
        </w:r>
        <w:r w:rsidR="003A6569">
          <w:rPr>
            <w:webHidden/>
          </w:rPr>
          <w:fldChar w:fldCharType="begin"/>
        </w:r>
        <w:r w:rsidR="003A6569">
          <w:rPr>
            <w:webHidden/>
          </w:rPr>
          <w:instrText xml:space="preserve"> PAGEREF _Toc150870561 \h </w:instrText>
        </w:r>
        <w:r w:rsidR="003A6569">
          <w:rPr>
            <w:webHidden/>
          </w:rPr>
        </w:r>
        <w:r w:rsidR="003A6569">
          <w:rPr>
            <w:webHidden/>
          </w:rPr>
          <w:fldChar w:fldCharType="separate"/>
        </w:r>
        <w:r w:rsidR="000C4DFF">
          <w:rPr>
            <w:webHidden/>
          </w:rPr>
          <w:t>36</w:t>
        </w:r>
        <w:r w:rsidR="003A6569">
          <w:rPr>
            <w:webHidden/>
          </w:rPr>
          <w:fldChar w:fldCharType="end"/>
        </w:r>
      </w:hyperlink>
    </w:p>
    <w:p w14:paraId="53C9D83B" w14:textId="1AA7E249" w:rsidR="003A6569" w:rsidRDefault="00000000">
      <w:pPr>
        <w:pStyle w:val="Inhopg2"/>
        <w:rPr>
          <w:rFonts w:asciiTheme="minorHAnsi" w:eastAsiaTheme="minorEastAsia" w:hAnsiTheme="minorHAnsi"/>
          <w:noProof/>
          <w:sz w:val="22"/>
          <w:szCs w:val="22"/>
          <w:lang w:eastAsia="nl-BE"/>
        </w:rPr>
      </w:pPr>
      <w:hyperlink w:anchor="_Toc150870562" w:history="1">
        <w:r w:rsidR="003A6569" w:rsidRPr="002B7C5D">
          <w:rPr>
            <w:rStyle w:val="Hyperlink"/>
            <w:noProof/>
          </w:rPr>
          <w:t>5.1.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_Toc150870562 \h </w:instrText>
        </w:r>
        <w:r w:rsidR="003A6569">
          <w:rPr>
            <w:noProof/>
            <w:webHidden/>
          </w:rPr>
        </w:r>
        <w:r w:rsidR="003A6569">
          <w:rPr>
            <w:noProof/>
            <w:webHidden/>
          </w:rPr>
          <w:fldChar w:fldCharType="separate"/>
        </w:r>
        <w:r w:rsidR="000C4DFF">
          <w:rPr>
            <w:noProof/>
            <w:webHidden/>
          </w:rPr>
          <w:t>36</w:t>
        </w:r>
        <w:r w:rsidR="003A6569">
          <w:rPr>
            <w:noProof/>
            <w:webHidden/>
          </w:rPr>
          <w:fldChar w:fldCharType="end"/>
        </w:r>
      </w:hyperlink>
    </w:p>
    <w:p w14:paraId="01793471" w14:textId="768E044D" w:rsidR="003A6569" w:rsidRDefault="00000000">
      <w:pPr>
        <w:pStyle w:val="Inhopg2"/>
        <w:rPr>
          <w:rFonts w:asciiTheme="minorHAnsi" w:eastAsiaTheme="minorEastAsia" w:hAnsiTheme="minorHAnsi"/>
          <w:noProof/>
          <w:sz w:val="22"/>
          <w:szCs w:val="22"/>
          <w:lang w:eastAsia="nl-BE"/>
        </w:rPr>
      </w:pPr>
      <w:hyperlink w:anchor="_Toc150870563" w:history="1">
        <w:r w:rsidR="003A6569" w:rsidRPr="002B7C5D">
          <w:rPr>
            <w:rStyle w:val="Hyperlink"/>
            <w:noProof/>
          </w:rPr>
          <w:t>5.2.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_Toc150870563 \h </w:instrText>
        </w:r>
        <w:r w:rsidR="003A6569">
          <w:rPr>
            <w:noProof/>
            <w:webHidden/>
          </w:rPr>
        </w:r>
        <w:r w:rsidR="003A6569">
          <w:rPr>
            <w:noProof/>
            <w:webHidden/>
          </w:rPr>
          <w:fldChar w:fldCharType="separate"/>
        </w:r>
        <w:r w:rsidR="000C4DFF">
          <w:rPr>
            <w:noProof/>
            <w:webHidden/>
          </w:rPr>
          <w:t>36</w:t>
        </w:r>
        <w:r w:rsidR="003A6569">
          <w:rPr>
            <w:noProof/>
            <w:webHidden/>
          </w:rPr>
          <w:fldChar w:fldCharType="end"/>
        </w:r>
      </w:hyperlink>
    </w:p>
    <w:p w14:paraId="21DD80D6" w14:textId="7FAA3037" w:rsidR="003A6569" w:rsidRDefault="00000000">
      <w:pPr>
        <w:pStyle w:val="Inhopg2"/>
        <w:rPr>
          <w:rFonts w:asciiTheme="minorHAnsi" w:eastAsiaTheme="minorEastAsia" w:hAnsiTheme="minorHAnsi"/>
          <w:noProof/>
          <w:sz w:val="22"/>
          <w:szCs w:val="22"/>
          <w:lang w:eastAsia="nl-BE"/>
        </w:rPr>
      </w:pPr>
      <w:hyperlink w:anchor="_Toc150870564" w:history="1">
        <w:r w:rsidR="003A6569" w:rsidRPr="002B7C5D">
          <w:rPr>
            <w:rStyle w:val="Hyperlink"/>
            <w:noProof/>
          </w:rPr>
          <w:t>5.3.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_Toc150870564 \h </w:instrText>
        </w:r>
        <w:r w:rsidR="003A6569">
          <w:rPr>
            <w:noProof/>
            <w:webHidden/>
          </w:rPr>
        </w:r>
        <w:r w:rsidR="003A6569">
          <w:rPr>
            <w:noProof/>
            <w:webHidden/>
          </w:rPr>
          <w:fldChar w:fldCharType="separate"/>
        </w:r>
        <w:r w:rsidR="000C4DFF">
          <w:rPr>
            <w:noProof/>
            <w:webHidden/>
          </w:rPr>
          <w:t>37</w:t>
        </w:r>
        <w:r w:rsidR="003A6569">
          <w:rPr>
            <w:noProof/>
            <w:webHidden/>
          </w:rPr>
          <w:fldChar w:fldCharType="end"/>
        </w:r>
      </w:hyperlink>
    </w:p>
    <w:p w14:paraId="49A4448B" w14:textId="4A4E7B69" w:rsidR="003A6569" w:rsidRDefault="00000000">
      <w:pPr>
        <w:pStyle w:val="Inhopg2"/>
        <w:rPr>
          <w:rFonts w:asciiTheme="minorHAnsi" w:eastAsiaTheme="minorEastAsia" w:hAnsiTheme="minorHAnsi"/>
          <w:noProof/>
          <w:sz w:val="22"/>
          <w:szCs w:val="22"/>
          <w:lang w:eastAsia="nl-BE"/>
        </w:rPr>
      </w:pPr>
      <w:hyperlink w:anchor="_Toc150870565" w:history="1">
        <w:r w:rsidR="003A6569" w:rsidRPr="002B7C5D">
          <w:rPr>
            <w:rStyle w:val="Hyperlink"/>
            <w:noProof/>
          </w:rPr>
          <w:t>5.4.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_Toc150870565 \h </w:instrText>
        </w:r>
        <w:r w:rsidR="003A6569">
          <w:rPr>
            <w:noProof/>
            <w:webHidden/>
          </w:rPr>
        </w:r>
        <w:r w:rsidR="003A6569">
          <w:rPr>
            <w:noProof/>
            <w:webHidden/>
          </w:rPr>
          <w:fldChar w:fldCharType="separate"/>
        </w:r>
        <w:r w:rsidR="000C4DFF">
          <w:rPr>
            <w:noProof/>
            <w:webHidden/>
          </w:rPr>
          <w:t>39</w:t>
        </w:r>
        <w:r w:rsidR="003A6569">
          <w:rPr>
            <w:noProof/>
            <w:webHidden/>
          </w:rPr>
          <w:fldChar w:fldCharType="end"/>
        </w:r>
      </w:hyperlink>
    </w:p>
    <w:p w14:paraId="3DE673AE" w14:textId="41315CEF" w:rsidR="003A6569" w:rsidRDefault="00000000">
      <w:pPr>
        <w:pStyle w:val="Inhopg1"/>
        <w:rPr>
          <w:rFonts w:asciiTheme="minorHAnsi" w:eastAsiaTheme="minorEastAsia" w:hAnsiTheme="minorHAnsi"/>
          <w:sz w:val="22"/>
          <w:szCs w:val="22"/>
          <w:lang w:eastAsia="nl-BE"/>
        </w:rPr>
      </w:pPr>
      <w:hyperlink w:anchor="_Toc150870566" w:history="1">
        <w:r w:rsidR="003A6569" w:rsidRPr="002B7C5D">
          <w:rPr>
            <w:rStyle w:val="Hyperlink"/>
          </w:rPr>
          <w:t>6.</w:t>
        </w:r>
        <w:r w:rsidR="003A6569">
          <w:rPr>
            <w:rFonts w:asciiTheme="minorHAnsi" w:eastAsiaTheme="minorEastAsia" w:hAnsiTheme="minorHAnsi"/>
            <w:sz w:val="22"/>
            <w:szCs w:val="22"/>
            <w:lang w:eastAsia="nl-BE"/>
          </w:rPr>
          <w:tab/>
        </w:r>
        <w:r w:rsidR="003A6569" w:rsidRPr="002B7C5D">
          <w:rPr>
            <w:rStyle w:val="Hyperlink"/>
          </w:rPr>
          <w:t>Principe 6 – De verdeling in percelen</w:t>
        </w:r>
        <w:r w:rsidR="003A6569">
          <w:rPr>
            <w:webHidden/>
          </w:rPr>
          <w:tab/>
        </w:r>
        <w:r w:rsidR="003A6569">
          <w:rPr>
            <w:webHidden/>
          </w:rPr>
          <w:fldChar w:fldCharType="begin"/>
        </w:r>
        <w:r w:rsidR="003A6569">
          <w:rPr>
            <w:webHidden/>
          </w:rPr>
          <w:instrText xml:space="preserve"> PAGEREF _Toc150870566 \h </w:instrText>
        </w:r>
        <w:r w:rsidR="003A6569">
          <w:rPr>
            <w:webHidden/>
          </w:rPr>
        </w:r>
        <w:r w:rsidR="003A6569">
          <w:rPr>
            <w:webHidden/>
          </w:rPr>
          <w:fldChar w:fldCharType="separate"/>
        </w:r>
        <w:r w:rsidR="000C4DFF">
          <w:rPr>
            <w:webHidden/>
          </w:rPr>
          <w:t>40</w:t>
        </w:r>
        <w:r w:rsidR="003A6569">
          <w:rPr>
            <w:webHidden/>
          </w:rPr>
          <w:fldChar w:fldCharType="end"/>
        </w:r>
      </w:hyperlink>
    </w:p>
    <w:p w14:paraId="4CF0C103" w14:textId="787E37C8" w:rsidR="003A6569" w:rsidRDefault="00000000">
      <w:pPr>
        <w:pStyle w:val="Inhopg2"/>
        <w:rPr>
          <w:rFonts w:asciiTheme="minorHAnsi" w:eastAsiaTheme="minorEastAsia" w:hAnsiTheme="minorHAnsi"/>
          <w:noProof/>
          <w:sz w:val="22"/>
          <w:szCs w:val="22"/>
          <w:lang w:eastAsia="nl-BE"/>
        </w:rPr>
      </w:pPr>
      <w:hyperlink w:anchor="_Toc150870567" w:history="1">
        <w:r w:rsidR="003A6569" w:rsidRPr="002B7C5D">
          <w:rPr>
            <w:rStyle w:val="Hyperlink"/>
            <w:noProof/>
          </w:rPr>
          <w:t>6.1.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_Toc150870567 \h </w:instrText>
        </w:r>
        <w:r w:rsidR="003A6569">
          <w:rPr>
            <w:noProof/>
            <w:webHidden/>
          </w:rPr>
        </w:r>
        <w:r w:rsidR="003A6569">
          <w:rPr>
            <w:noProof/>
            <w:webHidden/>
          </w:rPr>
          <w:fldChar w:fldCharType="separate"/>
        </w:r>
        <w:r w:rsidR="000C4DFF">
          <w:rPr>
            <w:noProof/>
            <w:webHidden/>
          </w:rPr>
          <w:t>40</w:t>
        </w:r>
        <w:r w:rsidR="003A6569">
          <w:rPr>
            <w:noProof/>
            <w:webHidden/>
          </w:rPr>
          <w:fldChar w:fldCharType="end"/>
        </w:r>
      </w:hyperlink>
    </w:p>
    <w:p w14:paraId="4B297205" w14:textId="2CCCB691" w:rsidR="003A6569" w:rsidRDefault="00000000">
      <w:pPr>
        <w:pStyle w:val="Inhopg2"/>
        <w:rPr>
          <w:rFonts w:asciiTheme="minorHAnsi" w:eastAsiaTheme="minorEastAsia" w:hAnsiTheme="minorHAnsi"/>
          <w:noProof/>
          <w:sz w:val="22"/>
          <w:szCs w:val="22"/>
          <w:lang w:eastAsia="nl-BE"/>
        </w:rPr>
      </w:pPr>
      <w:hyperlink w:anchor="_Toc150870568" w:history="1">
        <w:r w:rsidR="003A6569" w:rsidRPr="002B7C5D">
          <w:rPr>
            <w:rStyle w:val="Hyperlink"/>
            <w:noProof/>
          </w:rPr>
          <w:t>6.2.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_Toc150870568 \h </w:instrText>
        </w:r>
        <w:r w:rsidR="003A6569">
          <w:rPr>
            <w:noProof/>
            <w:webHidden/>
          </w:rPr>
        </w:r>
        <w:r w:rsidR="003A6569">
          <w:rPr>
            <w:noProof/>
            <w:webHidden/>
          </w:rPr>
          <w:fldChar w:fldCharType="separate"/>
        </w:r>
        <w:r w:rsidR="000C4DFF">
          <w:rPr>
            <w:noProof/>
            <w:webHidden/>
          </w:rPr>
          <w:t>40</w:t>
        </w:r>
        <w:r w:rsidR="003A6569">
          <w:rPr>
            <w:noProof/>
            <w:webHidden/>
          </w:rPr>
          <w:fldChar w:fldCharType="end"/>
        </w:r>
      </w:hyperlink>
    </w:p>
    <w:p w14:paraId="1008132B" w14:textId="2D12998E" w:rsidR="003A6569" w:rsidRDefault="00000000">
      <w:pPr>
        <w:pStyle w:val="Inhopg2"/>
        <w:rPr>
          <w:rFonts w:asciiTheme="minorHAnsi" w:eastAsiaTheme="minorEastAsia" w:hAnsiTheme="minorHAnsi"/>
          <w:noProof/>
          <w:sz w:val="22"/>
          <w:szCs w:val="22"/>
          <w:lang w:eastAsia="nl-BE"/>
        </w:rPr>
      </w:pPr>
      <w:hyperlink w:anchor="_Toc150870569" w:history="1">
        <w:r w:rsidR="003A6569" w:rsidRPr="002B7C5D">
          <w:rPr>
            <w:rStyle w:val="Hyperlink"/>
            <w:noProof/>
          </w:rPr>
          <w:t>6.3.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_Toc150870569 \h </w:instrText>
        </w:r>
        <w:r w:rsidR="003A6569">
          <w:rPr>
            <w:noProof/>
            <w:webHidden/>
          </w:rPr>
        </w:r>
        <w:r w:rsidR="003A6569">
          <w:rPr>
            <w:noProof/>
            <w:webHidden/>
          </w:rPr>
          <w:fldChar w:fldCharType="separate"/>
        </w:r>
        <w:r w:rsidR="000C4DFF">
          <w:rPr>
            <w:noProof/>
            <w:webHidden/>
          </w:rPr>
          <w:t>40</w:t>
        </w:r>
        <w:r w:rsidR="003A6569">
          <w:rPr>
            <w:noProof/>
            <w:webHidden/>
          </w:rPr>
          <w:fldChar w:fldCharType="end"/>
        </w:r>
      </w:hyperlink>
    </w:p>
    <w:p w14:paraId="20D41AEF" w14:textId="4BB933A0" w:rsidR="003A6569" w:rsidRDefault="00000000">
      <w:pPr>
        <w:pStyle w:val="Inhopg3"/>
        <w:rPr>
          <w:rFonts w:asciiTheme="minorHAnsi" w:eastAsiaTheme="minorEastAsia" w:hAnsiTheme="minorHAnsi"/>
          <w:noProof/>
          <w:sz w:val="22"/>
          <w:szCs w:val="22"/>
          <w:lang w:eastAsia="nl-BE"/>
        </w:rPr>
      </w:pPr>
      <w:hyperlink w:anchor="_Toc150870570" w:history="1">
        <w:r w:rsidR="003A6569" w:rsidRPr="002B7C5D">
          <w:rPr>
            <w:rStyle w:val="Hyperlink"/>
            <w:rFonts w:eastAsia="Lato"/>
            <w:noProof/>
          </w:rPr>
          <w:t>6.3.1.</w:t>
        </w:r>
        <w:r w:rsidR="003A6569">
          <w:rPr>
            <w:rFonts w:asciiTheme="minorHAnsi" w:eastAsiaTheme="minorEastAsia" w:hAnsiTheme="minorHAnsi"/>
            <w:noProof/>
            <w:sz w:val="22"/>
            <w:szCs w:val="22"/>
            <w:lang w:eastAsia="nl-BE"/>
          </w:rPr>
          <w:tab/>
        </w:r>
        <w:r w:rsidR="003A6569" w:rsidRPr="002B7C5D">
          <w:rPr>
            <w:rStyle w:val="Hyperlink"/>
            <w:rFonts w:eastAsia="Lato"/>
            <w:noProof/>
          </w:rPr>
          <w:t>Algemeen</w:t>
        </w:r>
        <w:r w:rsidR="003A6569">
          <w:rPr>
            <w:noProof/>
            <w:webHidden/>
          </w:rPr>
          <w:tab/>
        </w:r>
        <w:r w:rsidR="003A6569">
          <w:rPr>
            <w:noProof/>
            <w:webHidden/>
          </w:rPr>
          <w:fldChar w:fldCharType="begin"/>
        </w:r>
        <w:r w:rsidR="003A6569">
          <w:rPr>
            <w:noProof/>
            <w:webHidden/>
          </w:rPr>
          <w:instrText xml:space="preserve"> PAGEREF _Toc150870570 \h </w:instrText>
        </w:r>
        <w:r w:rsidR="003A6569">
          <w:rPr>
            <w:noProof/>
            <w:webHidden/>
          </w:rPr>
        </w:r>
        <w:r w:rsidR="003A6569">
          <w:rPr>
            <w:noProof/>
            <w:webHidden/>
          </w:rPr>
          <w:fldChar w:fldCharType="separate"/>
        </w:r>
        <w:r w:rsidR="000C4DFF">
          <w:rPr>
            <w:noProof/>
            <w:webHidden/>
          </w:rPr>
          <w:t>40</w:t>
        </w:r>
        <w:r w:rsidR="003A6569">
          <w:rPr>
            <w:noProof/>
            <w:webHidden/>
          </w:rPr>
          <w:fldChar w:fldCharType="end"/>
        </w:r>
      </w:hyperlink>
    </w:p>
    <w:p w14:paraId="041A1327" w14:textId="2A732D39" w:rsidR="003A6569" w:rsidRDefault="00000000">
      <w:pPr>
        <w:pStyle w:val="Inhopg3"/>
        <w:rPr>
          <w:rFonts w:asciiTheme="minorHAnsi" w:eastAsiaTheme="minorEastAsia" w:hAnsiTheme="minorHAnsi"/>
          <w:noProof/>
          <w:sz w:val="22"/>
          <w:szCs w:val="22"/>
          <w:lang w:eastAsia="nl-BE"/>
        </w:rPr>
      </w:pPr>
      <w:hyperlink w:anchor="_Toc150870571" w:history="1">
        <w:r w:rsidR="003A6569" w:rsidRPr="002B7C5D">
          <w:rPr>
            <w:rStyle w:val="Hyperlink"/>
            <w:rFonts w:eastAsia="Lato"/>
            <w:noProof/>
          </w:rPr>
          <w:t>6.3.2.</w:t>
        </w:r>
        <w:r w:rsidR="003A6569">
          <w:rPr>
            <w:rFonts w:asciiTheme="minorHAnsi" w:eastAsiaTheme="minorEastAsia" w:hAnsiTheme="minorHAnsi"/>
            <w:noProof/>
            <w:sz w:val="22"/>
            <w:szCs w:val="22"/>
            <w:lang w:eastAsia="nl-BE"/>
          </w:rPr>
          <w:tab/>
        </w:r>
        <w:r w:rsidR="003A6569" w:rsidRPr="002B7C5D">
          <w:rPr>
            <w:rStyle w:val="Hyperlink"/>
            <w:rFonts w:eastAsia="Lato"/>
            <w:noProof/>
          </w:rPr>
          <w:t>Hoe verdelen in percelen?</w:t>
        </w:r>
        <w:r w:rsidR="003A6569">
          <w:rPr>
            <w:noProof/>
            <w:webHidden/>
          </w:rPr>
          <w:tab/>
        </w:r>
        <w:r w:rsidR="003A6569">
          <w:rPr>
            <w:noProof/>
            <w:webHidden/>
          </w:rPr>
          <w:fldChar w:fldCharType="begin"/>
        </w:r>
        <w:r w:rsidR="003A6569">
          <w:rPr>
            <w:noProof/>
            <w:webHidden/>
          </w:rPr>
          <w:instrText xml:space="preserve"> PAGEREF _Toc150870571 \h </w:instrText>
        </w:r>
        <w:r w:rsidR="003A6569">
          <w:rPr>
            <w:noProof/>
            <w:webHidden/>
          </w:rPr>
        </w:r>
        <w:r w:rsidR="003A6569">
          <w:rPr>
            <w:noProof/>
            <w:webHidden/>
          </w:rPr>
          <w:fldChar w:fldCharType="separate"/>
        </w:r>
        <w:r w:rsidR="000C4DFF">
          <w:rPr>
            <w:noProof/>
            <w:webHidden/>
          </w:rPr>
          <w:t>41</w:t>
        </w:r>
        <w:r w:rsidR="003A6569">
          <w:rPr>
            <w:noProof/>
            <w:webHidden/>
          </w:rPr>
          <w:fldChar w:fldCharType="end"/>
        </w:r>
      </w:hyperlink>
    </w:p>
    <w:p w14:paraId="775D67DA" w14:textId="0D60E14E" w:rsidR="003A6569" w:rsidRDefault="00000000">
      <w:pPr>
        <w:pStyle w:val="Inhopg3"/>
        <w:rPr>
          <w:rFonts w:asciiTheme="minorHAnsi" w:eastAsiaTheme="minorEastAsia" w:hAnsiTheme="minorHAnsi"/>
          <w:noProof/>
          <w:sz w:val="22"/>
          <w:szCs w:val="22"/>
          <w:lang w:eastAsia="nl-BE"/>
        </w:rPr>
      </w:pPr>
      <w:hyperlink w:anchor="_Toc150870572" w:history="1">
        <w:r w:rsidR="003A6569" w:rsidRPr="002B7C5D">
          <w:rPr>
            <w:rStyle w:val="Hyperlink"/>
            <w:rFonts w:eastAsia="Lato"/>
            <w:noProof/>
          </w:rPr>
          <w:t>6.3.3.</w:t>
        </w:r>
        <w:r w:rsidR="003A6569">
          <w:rPr>
            <w:rFonts w:asciiTheme="minorHAnsi" w:eastAsiaTheme="minorEastAsia" w:hAnsiTheme="minorHAnsi"/>
            <w:noProof/>
            <w:sz w:val="22"/>
            <w:szCs w:val="22"/>
            <w:lang w:eastAsia="nl-BE"/>
          </w:rPr>
          <w:tab/>
        </w:r>
        <w:r w:rsidR="003A6569" w:rsidRPr="002B7C5D">
          <w:rPr>
            <w:rStyle w:val="Hyperlink"/>
            <w:rFonts w:eastAsia="Lato"/>
            <w:noProof/>
          </w:rPr>
          <w:t>Bijkomende bepalingen</w:t>
        </w:r>
        <w:r w:rsidR="003A6569">
          <w:rPr>
            <w:noProof/>
            <w:webHidden/>
          </w:rPr>
          <w:tab/>
        </w:r>
        <w:r w:rsidR="003A6569">
          <w:rPr>
            <w:noProof/>
            <w:webHidden/>
          </w:rPr>
          <w:fldChar w:fldCharType="begin"/>
        </w:r>
        <w:r w:rsidR="003A6569">
          <w:rPr>
            <w:noProof/>
            <w:webHidden/>
          </w:rPr>
          <w:instrText xml:space="preserve"> PAGEREF _Toc150870572 \h </w:instrText>
        </w:r>
        <w:r w:rsidR="003A6569">
          <w:rPr>
            <w:noProof/>
            <w:webHidden/>
          </w:rPr>
        </w:r>
        <w:r w:rsidR="003A6569">
          <w:rPr>
            <w:noProof/>
            <w:webHidden/>
          </w:rPr>
          <w:fldChar w:fldCharType="separate"/>
        </w:r>
        <w:r w:rsidR="000C4DFF">
          <w:rPr>
            <w:noProof/>
            <w:webHidden/>
          </w:rPr>
          <w:t>42</w:t>
        </w:r>
        <w:r w:rsidR="003A6569">
          <w:rPr>
            <w:noProof/>
            <w:webHidden/>
          </w:rPr>
          <w:fldChar w:fldCharType="end"/>
        </w:r>
      </w:hyperlink>
    </w:p>
    <w:p w14:paraId="5566083C" w14:textId="768BCCE1" w:rsidR="003A6569" w:rsidRDefault="00000000">
      <w:pPr>
        <w:pStyle w:val="Inhopg3"/>
        <w:rPr>
          <w:rFonts w:asciiTheme="minorHAnsi" w:eastAsiaTheme="minorEastAsia" w:hAnsiTheme="minorHAnsi"/>
          <w:noProof/>
          <w:sz w:val="22"/>
          <w:szCs w:val="22"/>
          <w:lang w:eastAsia="nl-BE"/>
        </w:rPr>
      </w:pPr>
      <w:hyperlink w:anchor="_Toc150870573" w:history="1">
        <w:r w:rsidR="003A6569" w:rsidRPr="002B7C5D">
          <w:rPr>
            <w:rStyle w:val="Hyperlink"/>
            <w:rFonts w:eastAsia="Lato"/>
            <w:noProof/>
          </w:rPr>
          <w:t>6.3.4.</w:t>
        </w:r>
        <w:r w:rsidR="003A6569">
          <w:rPr>
            <w:rFonts w:asciiTheme="minorHAnsi" w:eastAsiaTheme="minorEastAsia" w:hAnsiTheme="minorHAnsi"/>
            <w:noProof/>
            <w:sz w:val="22"/>
            <w:szCs w:val="22"/>
            <w:lang w:eastAsia="nl-BE"/>
          </w:rPr>
          <w:tab/>
        </w:r>
        <w:r w:rsidR="003A6569" w:rsidRPr="002B7C5D">
          <w:rPr>
            <w:rStyle w:val="Hyperlink"/>
            <w:rFonts w:eastAsia="Lato"/>
            <w:noProof/>
          </w:rPr>
          <w:t>Samenvatting en alternatieven</w:t>
        </w:r>
        <w:r w:rsidR="003A6569">
          <w:rPr>
            <w:noProof/>
            <w:webHidden/>
          </w:rPr>
          <w:tab/>
        </w:r>
        <w:r w:rsidR="003A6569">
          <w:rPr>
            <w:noProof/>
            <w:webHidden/>
          </w:rPr>
          <w:fldChar w:fldCharType="begin"/>
        </w:r>
        <w:r w:rsidR="003A6569">
          <w:rPr>
            <w:noProof/>
            <w:webHidden/>
          </w:rPr>
          <w:instrText xml:space="preserve"> PAGEREF _Toc150870573 \h </w:instrText>
        </w:r>
        <w:r w:rsidR="003A6569">
          <w:rPr>
            <w:noProof/>
            <w:webHidden/>
          </w:rPr>
        </w:r>
        <w:r w:rsidR="003A6569">
          <w:rPr>
            <w:noProof/>
            <w:webHidden/>
          </w:rPr>
          <w:fldChar w:fldCharType="separate"/>
        </w:r>
        <w:r w:rsidR="000C4DFF">
          <w:rPr>
            <w:noProof/>
            <w:webHidden/>
          </w:rPr>
          <w:t>43</w:t>
        </w:r>
        <w:r w:rsidR="003A6569">
          <w:rPr>
            <w:noProof/>
            <w:webHidden/>
          </w:rPr>
          <w:fldChar w:fldCharType="end"/>
        </w:r>
      </w:hyperlink>
    </w:p>
    <w:p w14:paraId="4656D152" w14:textId="679E7720" w:rsidR="003A6569" w:rsidRDefault="00000000">
      <w:pPr>
        <w:pStyle w:val="Inhopg2"/>
        <w:rPr>
          <w:rFonts w:asciiTheme="minorHAnsi" w:eastAsiaTheme="minorEastAsia" w:hAnsiTheme="minorHAnsi"/>
          <w:noProof/>
          <w:sz w:val="22"/>
          <w:szCs w:val="22"/>
          <w:lang w:eastAsia="nl-BE"/>
        </w:rPr>
      </w:pPr>
      <w:hyperlink w:anchor="_Toc150870574" w:history="1">
        <w:r w:rsidR="003A6569" w:rsidRPr="002B7C5D">
          <w:rPr>
            <w:rStyle w:val="Hyperlink"/>
            <w:noProof/>
          </w:rPr>
          <w:t>6.4.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_Toc150870574 \h </w:instrText>
        </w:r>
        <w:r w:rsidR="003A6569">
          <w:rPr>
            <w:noProof/>
            <w:webHidden/>
          </w:rPr>
        </w:r>
        <w:r w:rsidR="003A6569">
          <w:rPr>
            <w:noProof/>
            <w:webHidden/>
          </w:rPr>
          <w:fldChar w:fldCharType="separate"/>
        </w:r>
        <w:r w:rsidR="000C4DFF">
          <w:rPr>
            <w:noProof/>
            <w:webHidden/>
          </w:rPr>
          <w:t>44</w:t>
        </w:r>
        <w:r w:rsidR="003A6569">
          <w:rPr>
            <w:noProof/>
            <w:webHidden/>
          </w:rPr>
          <w:fldChar w:fldCharType="end"/>
        </w:r>
      </w:hyperlink>
    </w:p>
    <w:p w14:paraId="0BA9035F" w14:textId="359055C2" w:rsidR="003A6569" w:rsidRDefault="00000000">
      <w:pPr>
        <w:pStyle w:val="Inhopg2"/>
        <w:rPr>
          <w:rFonts w:asciiTheme="minorHAnsi" w:eastAsiaTheme="minorEastAsia" w:hAnsiTheme="minorHAnsi"/>
          <w:noProof/>
          <w:sz w:val="22"/>
          <w:szCs w:val="22"/>
          <w:lang w:eastAsia="nl-BE"/>
        </w:rPr>
      </w:pPr>
      <w:hyperlink w:anchor="_Toc150870575" w:history="1">
        <w:r w:rsidR="003A6569" w:rsidRPr="002B7C5D">
          <w:rPr>
            <w:rStyle w:val="Hyperlink"/>
            <w:noProof/>
          </w:rPr>
          <w:t>6.5.</w:t>
        </w:r>
        <w:r w:rsidR="003A6569">
          <w:rPr>
            <w:rFonts w:asciiTheme="minorHAnsi" w:eastAsiaTheme="minorEastAsia" w:hAnsiTheme="minorHAnsi"/>
            <w:noProof/>
            <w:sz w:val="22"/>
            <w:szCs w:val="22"/>
            <w:lang w:eastAsia="nl-BE"/>
          </w:rPr>
          <w:tab/>
        </w:r>
        <w:r w:rsidR="003A6569" w:rsidRPr="002B7C5D">
          <w:rPr>
            <w:rStyle w:val="Hyperlink"/>
            <w:noProof/>
          </w:rPr>
          <w:t>Voorbeelden</w:t>
        </w:r>
        <w:r w:rsidR="003A6569">
          <w:rPr>
            <w:noProof/>
            <w:webHidden/>
          </w:rPr>
          <w:tab/>
        </w:r>
        <w:r w:rsidR="003A6569">
          <w:rPr>
            <w:noProof/>
            <w:webHidden/>
          </w:rPr>
          <w:fldChar w:fldCharType="begin"/>
        </w:r>
        <w:r w:rsidR="003A6569">
          <w:rPr>
            <w:noProof/>
            <w:webHidden/>
          </w:rPr>
          <w:instrText xml:space="preserve"> PAGEREF _Toc150870575 \h </w:instrText>
        </w:r>
        <w:r w:rsidR="003A6569">
          <w:rPr>
            <w:noProof/>
            <w:webHidden/>
          </w:rPr>
        </w:r>
        <w:r w:rsidR="003A6569">
          <w:rPr>
            <w:noProof/>
            <w:webHidden/>
          </w:rPr>
          <w:fldChar w:fldCharType="separate"/>
        </w:r>
        <w:r w:rsidR="000C4DFF">
          <w:rPr>
            <w:noProof/>
            <w:webHidden/>
          </w:rPr>
          <w:t>45</w:t>
        </w:r>
        <w:r w:rsidR="003A6569">
          <w:rPr>
            <w:noProof/>
            <w:webHidden/>
          </w:rPr>
          <w:fldChar w:fldCharType="end"/>
        </w:r>
      </w:hyperlink>
    </w:p>
    <w:p w14:paraId="6DF2F90C" w14:textId="3B66A2FA" w:rsidR="003A6569" w:rsidRDefault="00000000">
      <w:pPr>
        <w:pStyle w:val="Inhopg3"/>
        <w:rPr>
          <w:rFonts w:asciiTheme="minorHAnsi" w:eastAsiaTheme="minorEastAsia" w:hAnsiTheme="minorHAnsi"/>
          <w:noProof/>
          <w:sz w:val="22"/>
          <w:szCs w:val="22"/>
          <w:lang w:eastAsia="nl-BE"/>
        </w:rPr>
      </w:pPr>
      <w:hyperlink w:anchor="_Toc150870576" w:history="1">
        <w:r w:rsidR="003A6569" w:rsidRPr="002B7C5D">
          <w:rPr>
            <w:rStyle w:val="Hyperlink"/>
            <w:noProof/>
          </w:rPr>
          <w:t>6.5.1.</w:t>
        </w:r>
        <w:r w:rsidR="003A6569">
          <w:rPr>
            <w:rFonts w:asciiTheme="minorHAnsi" w:eastAsiaTheme="minorEastAsia" w:hAnsiTheme="minorHAnsi"/>
            <w:noProof/>
            <w:sz w:val="22"/>
            <w:szCs w:val="22"/>
            <w:lang w:eastAsia="nl-BE"/>
          </w:rPr>
          <w:tab/>
        </w:r>
        <w:r w:rsidR="003A6569" w:rsidRPr="002B7C5D">
          <w:rPr>
            <w:rStyle w:val="Hyperlink"/>
            <w:noProof/>
          </w:rPr>
          <w:t>De verdeling in percelen – te vermijden</w:t>
        </w:r>
        <w:r w:rsidR="003A6569">
          <w:rPr>
            <w:noProof/>
            <w:webHidden/>
          </w:rPr>
          <w:tab/>
        </w:r>
        <w:r w:rsidR="003A6569">
          <w:rPr>
            <w:noProof/>
            <w:webHidden/>
          </w:rPr>
          <w:fldChar w:fldCharType="begin"/>
        </w:r>
        <w:r w:rsidR="003A6569">
          <w:rPr>
            <w:noProof/>
            <w:webHidden/>
          </w:rPr>
          <w:instrText xml:space="preserve"> PAGEREF _Toc150870576 \h </w:instrText>
        </w:r>
        <w:r w:rsidR="003A6569">
          <w:rPr>
            <w:noProof/>
            <w:webHidden/>
          </w:rPr>
        </w:r>
        <w:r w:rsidR="003A6569">
          <w:rPr>
            <w:noProof/>
            <w:webHidden/>
          </w:rPr>
          <w:fldChar w:fldCharType="separate"/>
        </w:r>
        <w:r w:rsidR="000C4DFF">
          <w:rPr>
            <w:noProof/>
            <w:webHidden/>
          </w:rPr>
          <w:t>45</w:t>
        </w:r>
        <w:r w:rsidR="003A6569">
          <w:rPr>
            <w:noProof/>
            <w:webHidden/>
          </w:rPr>
          <w:fldChar w:fldCharType="end"/>
        </w:r>
      </w:hyperlink>
    </w:p>
    <w:p w14:paraId="1D4941A4" w14:textId="3A0C779F" w:rsidR="003A6569" w:rsidRDefault="00000000">
      <w:pPr>
        <w:pStyle w:val="Inhopg3"/>
        <w:rPr>
          <w:rFonts w:asciiTheme="minorHAnsi" w:eastAsiaTheme="minorEastAsia" w:hAnsiTheme="minorHAnsi"/>
          <w:noProof/>
          <w:sz w:val="22"/>
          <w:szCs w:val="22"/>
          <w:lang w:eastAsia="nl-BE"/>
        </w:rPr>
      </w:pPr>
      <w:hyperlink w:anchor="_Toc150870577" w:history="1">
        <w:r w:rsidR="003A6569" w:rsidRPr="002B7C5D">
          <w:rPr>
            <w:rStyle w:val="Hyperlink"/>
            <w:noProof/>
          </w:rPr>
          <w:t>6.5.2.</w:t>
        </w:r>
        <w:r w:rsidR="003A6569">
          <w:rPr>
            <w:rFonts w:asciiTheme="minorHAnsi" w:eastAsiaTheme="minorEastAsia" w:hAnsiTheme="minorHAnsi"/>
            <w:noProof/>
            <w:sz w:val="22"/>
            <w:szCs w:val="22"/>
            <w:lang w:eastAsia="nl-BE"/>
          </w:rPr>
          <w:tab/>
        </w:r>
        <w:r w:rsidR="003A6569" w:rsidRPr="002B7C5D">
          <w:rPr>
            <w:rStyle w:val="Hyperlink"/>
            <w:noProof/>
          </w:rPr>
          <w:t>De verdeling in percelen – aanbevolen</w:t>
        </w:r>
        <w:r w:rsidR="003A6569">
          <w:rPr>
            <w:noProof/>
            <w:webHidden/>
          </w:rPr>
          <w:tab/>
        </w:r>
        <w:r w:rsidR="003A6569">
          <w:rPr>
            <w:noProof/>
            <w:webHidden/>
          </w:rPr>
          <w:fldChar w:fldCharType="begin"/>
        </w:r>
        <w:r w:rsidR="003A6569">
          <w:rPr>
            <w:noProof/>
            <w:webHidden/>
          </w:rPr>
          <w:instrText xml:space="preserve"> PAGEREF _Toc150870577 \h </w:instrText>
        </w:r>
        <w:r w:rsidR="003A6569">
          <w:rPr>
            <w:noProof/>
            <w:webHidden/>
          </w:rPr>
        </w:r>
        <w:r w:rsidR="003A6569">
          <w:rPr>
            <w:noProof/>
            <w:webHidden/>
          </w:rPr>
          <w:fldChar w:fldCharType="separate"/>
        </w:r>
        <w:r w:rsidR="000C4DFF">
          <w:rPr>
            <w:noProof/>
            <w:webHidden/>
          </w:rPr>
          <w:t>46</w:t>
        </w:r>
        <w:r w:rsidR="003A6569">
          <w:rPr>
            <w:noProof/>
            <w:webHidden/>
          </w:rPr>
          <w:fldChar w:fldCharType="end"/>
        </w:r>
      </w:hyperlink>
    </w:p>
    <w:p w14:paraId="1E67E2DB" w14:textId="784DBEAF" w:rsidR="003A6569" w:rsidRDefault="00000000">
      <w:pPr>
        <w:pStyle w:val="Inhopg1"/>
        <w:rPr>
          <w:rFonts w:asciiTheme="minorHAnsi" w:eastAsiaTheme="minorEastAsia" w:hAnsiTheme="minorHAnsi"/>
          <w:sz w:val="22"/>
          <w:szCs w:val="22"/>
          <w:lang w:eastAsia="nl-BE"/>
        </w:rPr>
      </w:pPr>
      <w:hyperlink w:anchor="_Toc150870578" w:history="1">
        <w:r w:rsidR="003A6569" w:rsidRPr="002B7C5D">
          <w:rPr>
            <w:rStyle w:val="Hyperlink"/>
          </w:rPr>
          <w:t>7.</w:t>
        </w:r>
        <w:r w:rsidR="003A6569">
          <w:rPr>
            <w:rFonts w:asciiTheme="minorHAnsi" w:eastAsiaTheme="minorEastAsia" w:hAnsiTheme="minorHAnsi"/>
            <w:sz w:val="22"/>
            <w:szCs w:val="22"/>
            <w:lang w:eastAsia="nl-BE"/>
          </w:rPr>
          <w:tab/>
        </w:r>
        <w:r w:rsidR="003A6569" w:rsidRPr="002B7C5D">
          <w:rPr>
            <w:rStyle w:val="Hyperlink"/>
          </w:rPr>
          <w:t>Principe 7 – Het gebruik van varianten</w:t>
        </w:r>
        <w:r w:rsidR="003A6569">
          <w:rPr>
            <w:webHidden/>
          </w:rPr>
          <w:tab/>
        </w:r>
        <w:r w:rsidR="003A6569">
          <w:rPr>
            <w:webHidden/>
          </w:rPr>
          <w:fldChar w:fldCharType="begin"/>
        </w:r>
        <w:r w:rsidR="003A6569">
          <w:rPr>
            <w:webHidden/>
          </w:rPr>
          <w:instrText xml:space="preserve"> PAGEREF _Toc150870578 \h </w:instrText>
        </w:r>
        <w:r w:rsidR="003A6569">
          <w:rPr>
            <w:webHidden/>
          </w:rPr>
        </w:r>
        <w:r w:rsidR="003A6569">
          <w:rPr>
            <w:webHidden/>
          </w:rPr>
          <w:fldChar w:fldCharType="separate"/>
        </w:r>
        <w:r w:rsidR="000C4DFF">
          <w:rPr>
            <w:webHidden/>
          </w:rPr>
          <w:t>46</w:t>
        </w:r>
        <w:r w:rsidR="003A6569">
          <w:rPr>
            <w:webHidden/>
          </w:rPr>
          <w:fldChar w:fldCharType="end"/>
        </w:r>
      </w:hyperlink>
    </w:p>
    <w:p w14:paraId="1276C0D5" w14:textId="6827BBEA" w:rsidR="003A6569" w:rsidRDefault="00000000">
      <w:pPr>
        <w:pStyle w:val="Inhopg2"/>
        <w:rPr>
          <w:rFonts w:asciiTheme="minorHAnsi" w:eastAsiaTheme="minorEastAsia" w:hAnsiTheme="minorHAnsi"/>
          <w:noProof/>
          <w:sz w:val="22"/>
          <w:szCs w:val="22"/>
          <w:lang w:eastAsia="nl-BE"/>
        </w:rPr>
      </w:pPr>
      <w:hyperlink w:anchor="_Toc150870579" w:history="1">
        <w:r w:rsidR="003A6569" w:rsidRPr="002B7C5D">
          <w:rPr>
            <w:rStyle w:val="Hyperlink"/>
            <w:noProof/>
          </w:rPr>
          <w:t>7.1.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_Toc150870579 \h </w:instrText>
        </w:r>
        <w:r w:rsidR="003A6569">
          <w:rPr>
            <w:noProof/>
            <w:webHidden/>
          </w:rPr>
        </w:r>
        <w:r w:rsidR="003A6569">
          <w:rPr>
            <w:noProof/>
            <w:webHidden/>
          </w:rPr>
          <w:fldChar w:fldCharType="separate"/>
        </w:r>
        <w:r w:rsidR="000C4DFF">
          <w:rPr>
            <w:noProof/>
            <w:webHidden/>
          </w:rPr>
          <w:t>46</w:t>
        </w:r>
        <w:r w:rsidR="003A6569">
          <w:rPr>
            <w:noProof/>
            <w:webHidden/>
          </w:rPr>
          <w:fldChar w:fldCharType="end"/>
        </w:r>
      </w:hyperlink>
    </w:p>
    <w:p w14:paraId="70D0539D" w14:textId="3EED4DD1" w:rsidR="003A6569" w:rsidRDefault="00000000">
      <w:pPr>
        <w:pStyle w:val="Inhopg2"/>
        <w:rPr>
          <w:rFonts w:asciiTheme="minorHAnsi" w:eastAsiaTheme="minorEastAsia" w:hAnsiTheme="minorHAnsi"/>
          <w:noProof/>
          <w:sz w:val="22"/>
          <w:szCs w:val="22"/>
          <w:lang w:eastAsia="nl-BE"/>
        </w:rPr>
      </w:pPr>
      <w:hyperlink w:anchor="_Toc150870580" w:history="1">
        <w:r w:rsidR="003A6569" w:rsidRPr="002B7C5D">
          <w:rPr>
            <w:rStyle w:val="Hyperlink"/>
            <w:noProof/>
          </w:rPr>
          <w:t>7.2.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_Toc150870580 \h </w:instrText>
        </w:r>
        <w:r w:rsidR="003A6569">
          <w:rPr>
            <w:noProof/>
            <w:webHidden/>
          </w:rPr>
        </w:r>
        <w:r w:rsidR="003A6569">
          <w:rPr>
            <w:noProof/>
            <w:webHidden/>
          </w:rPr>
          <w:fldChar w:fldCharType="separate"/>
        </w:r>
        <w:r w:rsidR="000C4DFF">
          <w:rPr>
            <w:noProof/>
            <w:webHidden/>
          </w:rPr>
          <w:t>46</w:t>
        </w:r>
        <w:r w:rsidR="003A6569">
          <w:rPr>
            <w:noProof/>
            <w:webHidden/>
          </w:rPr>
          <w:fldChar w:fldCharType="end"/>
        </w:r>
      </w:hyperlink>
    </w:p>
    <w:p w14:paraId="03249CA2" w14:textId="144F7590" w:rsidR="003A6569" w:rsidRDefault="00000000">
      <w:pPr>
        <w:pStyle w:val="Inhopg3"/>
        <w:rPr>
          <w:rFonts w:asciiTheme="minorHAnsi" w:eastAsiaTheme="minorEastAsia" w:hAnsiTheme="minorHAnsi"/>
          <w:noProof/>
          <w:sz w:val="22"/>
          <w:szCs w:val="22"/>
          <w:lang w:eastAsia="nl-BE"/>
        </w:rPr>
      </w:pPr>
      <w:hyperlink w:anchor="_Toc150870581" w:history="1">
        <w:r w:rsidR="003A6569" w:rsidRPr="002B7C5D">
          <w:rPr>
            <w:rStyle w:val="Hyperlink"/>
            <w:rFonts w:eastAsia="Lato"/>
            <w:noProof/>
          </w:rPr>
          <w:t>7.2.1.</w:t>
        </w:r>
        <w:r w:rsidR="003A6569">
          <w:rPr>
            <w:rFonts w:asciiTheme="minorHAnsi" w:eastAsiaTheme="minorEastAsia" w:hAnsiTheme="minorHAnsi"/>
            <w:noProof/>
            <w:sz w:val="22"/>
            <w:szCs w:val="22"/>
            <w:lang w:eastAsia="nl-BE"/>
          </w:rPr>
          <w:tab/>
        </w:r>
        <w:r w:rsidR="003A6569" w:rsidRPr="002B7C5D">
          <w:rPr>
            <w:rStyle w:val="Hyperlink"/>
            <w:rFonts w:eastAsia="Lato"/>
            <w:noProof/>
          </w:rPr>
          <w:t>Vereiste en toegestane varianten</w:t>
        </w:r>
        <w:r w:rsidR="003A6569">
          <w:rPr>
            <w:noProof/>
            <w:webHidden/>
          </w:rPr>
          <w:tab/>
        </w:r>
        <w:r w:rsidR="003A6569">
          <w:rPr>
            <w:noProof/>
            <w:webHidden/>
          </w:rPr>
          <w:fldChar w:fldCharType="begin"/>
        </w:r>
        <w:r w:rsidR="003A6569">
          <w:rPr>
            <w:noProof/>
            <w:webHidden/>
          </w:rPr>
          <w:instrText xml:space="preserve"> PAGEREF _Toc150870581 \h </w:instrText>
        </w:r>
        <w:r w:rsidR="003A6569">
          <w:rPr>
            <w:noProof/>
            <w:webHidden/>
          </w:rPr>
        </w:r>
        <w:r w:rsidR="003A6569">
          <w:rPr>
            <w:noProof/>
            <w:webHidden/>
          </w:rPr>
          <w:fldChar w:fldCharType="separate"/>
        </w:r>
        <w:r w:rsidR="000C4DFF">
          <w:rPr>
            <w:noProof/>
            <w:webHidden/>
          </w:rPr>
          <w:t>46</w:t>
        </w:r>
        <w:r w:rsidR="003A6569">
          <w:rPr>
            <w:noProof/>
            <w:webHidden/>
          </w:rPr>
          <w:fldChar w:fldCharType="end"/>
        </w:r>
      </w:hyperlink>
    </w:p>
    <w:p w14:paraId="2E99AA3A" w14:textId="7309A945" w:rsidR="003A6569" w:rsidRDefault="00000000">
      <w:pPr>
        <w:pStyle w:val="Inhopg3"/>
        <w:rPr>
          <w:rFonts w:asciiTheme="minorHAnsi" w:eastAsiaTheme="minorEastAsia" w:hAnsiTheme="minorHAnsi"/>
          <w:noProof/>
          <w:sz w:val="22"/>
          <w:szCs w:val="22"/>
          <w:lang w:eastAsia="nl-BE"/>
        </w:rPr>
      </w:pPr>
      <w:hyperlink w:anchor="_Toc150870582" w:history="1">
        <w:r w:rsidR="003A6569" w:rsidRPr="002B7C5D">
          <w:rPr>
            <w:rStyle w:val="Hyperlink"/>
            <w:rFonts w:eastAsia="Lato"/>
            <w:noProof/>
          </w:rPr>
          <w:t>7.2.2.</w:t>
        </w:r>
        <w:r w:rsidR="003A6569">
          <w:rPr>
            <w:rFonts w:asciiTheme="minorHAnsi" w:eastAsiaTheme="minorEastAsia" w:hAnsiTheme="minorHAnsi"/>
            <w:noProof/>
            <w:sz w:val="22"/>
            <w:szCs w:val="22"/>
            <w:lang w:eastAsia="nl-BE"/>
          </w:rPr>
          <w:tab/>
        </w:r>
        <w:r w:rsidR="003A6569" w:rsidRPr="002B7C5D">
          <w:rPr>
            <w:rStyle w:val="Hyperlink"/>
            <w:rFonts w:eastAsia="Lato"/>
            <w:noProof/>
          </w:rPr>
          <w:t>Vrije varianten</w:t>
        </w:r>
        <w:r w:rsidR="003A6569">
          <w:rPr>
            <w:noProof/>
            <w:webHidden/>
          </w:rPr>
          <w:tab/>
        </w:r>
        <w:r w:rsidR="003A6569">
          <w:rPr>
            <w:noProof/>
            <w:webHidden/>
          </w:rPr>
          <w:fldChar w:fldCharType="begin"/>
        </w:r>
        <w:r w:rsidR="003A6569">
          <w:rPr>
            <w:noProof/>
            <w:webHidden/>
          </w:rPr>
          <w:instrText xml:space="preserve"> PAGEREF _Toc150870582 \h </w:instrText>
        </w:r>
        <w:r w:rsidR="003A6569">
          <w:rPr>
            <w:noProof/>
            <w:webHidden/>
          </w:rPr>
        </w:r>
        <w:r w:rsidR="003A6569">
          <w:rPr>
            <w:noProof/>
            <w:webHidden/>
          </w:rPr>
          <w:fldChar w:fldCharType="separate"/>
        </w:r>
        <w:r w:rsidR="000C4DFF">
          <w:rPr>
            <w:noProof/>
            <w:webHidden/>
          </w:rPr>
          <w:t>47</w:t>
        </w:r>
        <w:r w:rsidR="003A6569">
          <w:rPr>
            <w:noProof/>
            <w:webHidden/>
          </w:rPr>
          <w:fldChar w:fldCharType="end"/>
        </w:r>
      </w:hyperlink>
    </w:p>
    <w:p w14:paraId="58242F77" w14:textId="71D137AD" w:rsidR="003A6569" w:rsidRDefault="00000000">
      <w:pPr>
        <w:pStyle w:val="Inhopg2"/>
        <w:rPr>
          <w:rFonts w:asciiTheme="minorHAnsi" w:eastAsiaTheme="minorEastAsia" w:hAnsiTheme="minorHAnsi"/>
          <w:noProof/>
          <w:sz w:val="22"/>
          <w:szCs w:val="22"/>
          <w:lang w:eastAsia="nl-BE"/>
        </w:rPr>
      </w:pPr>
      <w:hyperlink w:anchor="_Toc150870583" w:history="1">
        <w:r w:rsidR="003A6569" w:rsidRPr="002B7C5D">
          <w:rPr>
            <w:rStyle w:val="Hyperlink"/>
            <w:noProof/>
          </w:rPr>
          <w:t>7.3.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_Toc150870583 \h </w:instrText>
        </w:r>
        <w:r w:rsidR="003A6569">
          <w:rPr>
            <w:noProof/>
            <w:webHidden/>
          </w:rPr>
        </w:r>
        <w:r w:rsidR="003A6569">
          <w:rPr>
            <w:noProof/>
            <w:webHidden/>
          </w:rPr>
          <w:fldChar w:fldCharType="separate"/>
        </w:r>
        <w:r w:rsidR="000C4DFF">
          <w:rPr>
            <w:noProof/>
            <w:webHidden/>
          </w:rPr>
          <w:t>47</w:t>
        </w:r>
        <w:r w:rsidR="003A6569">
          <w:rPr>
            <w:noProof/>
            <w:webHidden/>
          </w:rPr>
          <w:fldChar w:fldCharType="end"/>
        </w:r>
      </w:hyperlink>
    </w:p>
    <w:p w14:paraId="7F3DC224" w14:textId="16ED5E56" w:rsidR="003A6569" w:rsidRDefault="00000000">
      <w:pPr>
        <w:pStyle w:val="Inhopg2"/>
        <w:rPr>
          <w:rFonts w:asciiTheme="minorHAnsi" w:eastAsiaTheme="minorEastAsia" w:hAnsiTheme="minorHAnsi"/>
          <w:noProof/>
          <w:sz w:val="22"/>
          <w:szCs w:val="22"/>
          <w:lang w:eastAsia="nl-BE"/>
        </w:rPr>
      </w:pPr>
      <w:hyperlink w:anchor="_Toc150870584" w:history="1">
        <w:r w:rsidR="003A6569" w:rsidRPr="002B7C5D">
          <w:rPr>
            <w:rStyle w:val="Hyperlink"/>
            <w:noProof/>
          </w:rPr>
          <w:t>7.4.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_Toc150870584 \h </w:instrText>
        </w:r>
        <w:r w:rsidR="003A6569">
          <w:rPr>
            <w:noProof/>
            <w:webHidden/>
          </w:rPr>
        </w:r>
        <w:r w:rsidR="003A6569">
          <w:rPr>
            <w:noProof/>
            <w:webHidden/>
          </w:rPr>
          <w:fldChar w:fldCharType="separate"/>
        </w:r>
        <w:r w:rsidR="000C4DFF">
          <w:rPr>
            <w:noProof/>
            <w:webHidden/>
          </w:rPr>
          <w:t>49</w:t>
        </w:r>
        <w:r w:rsidR="003A6569">
          <w:rPr>
            <w:noProof/>
            <w:webHidden/>
          </w:rPr>
          <w:fldChar w:fldCharType="end"/>
        </w:r>
      </w:hyperlink>
    </w:p>
    <w:p w14:paraId="7F4DDE14" w14:textId="24903893" w:rsidR="003A6569" w:rsidRDefault="00000000">
      <w:pPr>
        <w:pStyle w:val="Inhopg1"/>
        <w:rPr>
          <w:rFonts w:asciiTheme="minorHAnsi" w:eastAsiaTheme="minorEastAsia" w:hAnsiTheme="minorHAnsi"/>
          <w:sz w:val="22"/>
          <w:szCs w:val="22"/>
          <w:lang w:eastAsia="nl-BE"/>
        </w:rPr>
      </w:pPr>
      <w:hyperlink w:anchor="_Toc150870585" w:history="1">
        <w:r w:rsidR="003A6569" w:rsidRPr="002B7C5D">
          <w:rPr>
            <w:rStyle w:val="Hyperlink"/>
          </w:rPr>
          <w:t>8.</w:t>
        </w:r>
        <w:r w:rsidR="003A6569">
          <w:rPr>
            <w:rFonts w:asciiTheme="minorHAnsi" w:eastAsiaTheme="minorEastAsia" w:hAnsiTheme="minorHAnsi"/>
            <w:sz w:val="22"/>
            <w:szCs w:val="22"/>
            <w:lang w:eastAsia="nl-BE"/>
          </w:rPr>
          <w:tab/>
        </w:r>
        <w:r w:rsidR="003A6569" w:rsidRPr="002B7C5D">
          <w:rPr>
            <w:rStyle w:val="Hyperlink"/>
          </w:rPr>
          <w:t>Principe 8 – Proportionaliteit bij selectiecriteria, financiële garanties en betalingsmodaliteiten</w:t>
        </w:r>
        <w:r w:rsidR="003A6569">
          <w:rPr>
            <w:webHidden/>
          </w:rPr>
          <w:tab/>
        </w:r>
        <w:r w:rsidR="003A6569">
          <w:rPr>
            <w:webHidden/>
          </w:rPr>
          <w:fldChar w:fldCharType="begin"/>
        </w:r>
        <w:r w:rsidR="003A6569">
          <w:rPr>
            <w:webHidden/>
          </w:rPr>
          <w:instrText xml:space="preserve"> PAGEREF _Toc150870585 \h </w:instrText>
        </w:r>
        <w:r w:rsidR="003A6569">
          <w:rPr>
            <w:webHidden/>
          </w:rPr>
        </w:r>
        <w:r w:rsidR="003A6569">
          <w:rPr>
            <w:webHidden/>
          </w:rPr>
          <w:fldChar w:fldCharType="separate"/>
        </w:r>
        <w:r w:rsidR="000C4DFF">
          <w:rPr>
            <w:webHidden/>
          </w:rPr>
          <w:t>50</w:t>
        </w:r>
        <w:r w:rsidR="003A6569">
          <w:rPr>
            <w:webHidden/>
          </w:rPr>
          <w:fldChar w:fldCharType="end"/>
        </w:r>
      </w:hyperlink>
    </w:p>
    <w:p w14:paraId="694DA0F8" w14:textId="1957613C" w:rsidR="003A6569" w:rsidRDefault="00000000">
      <w:pPr>
        <w:pStyle w:val="Inhopg2"/>
        <w:rPr>
          <w:rFonts w:asciiTheme="minorHAnsi" w:eastAsiaTheme="minorEastAsia" w:hAnsiTheme="minorHAnsi"/>
          <w:noProof/>
          <w:sz w:val="22"/>
          <w:szCs w:val="22"/>
          <w:lang w:eastAsia="nl-BE"/>
        </w:rPr>
      </w:pPr>
      <w:hyperlink w:anchor="_Toc150870586" w:history="1">
        <w:r w:rsidR="003A6569" w:rsidRPr="002B7C5D">
          <w:rPr>
            <w:rStyle w:val="Hyperlink"/>
            <w:noProof/>
          </w:rPr>
          <w:t>8.1.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_Toc150870586 \h </w:instrText>
        </w:r>
        <w:r w:rsidR="003A6569">
          <w:rPr>
            <w:noProof/>
            <w:webHidden/>
          </w:rPr>
        </w:r>
        <w:r w:rsidR="003A6569">
          <w:rPr>
            <w:noProof/>
            <w:webHidden/>
          </w:rPr>
          <w:fldChar w:fldCharType="separate"/>
        </w:r>
        <w:r w:rsidR="000C4DFF">
          <w:rPr>
            <w:noProof/>
            <w:webHidden/>
          </w:rPr>
          <w:t>50</w:t>
        </w:r>
        <w:r w:rsidR="003A6569">
          <w:rPr>
            <w:noProof/>
            <w:webHidden/>
          </w:rPr>
          <w:fldChar w:fldCharType="end"/>
        </w:r>
      </w:hyperlink>
    </w:p>
    <w:p w14:paraId="62254619" w14:textId="733CF0AA" w:rsidR="003A6569" w:rsidRDefault="00000000">
      <w:pPr>
        <w:pStyle w:val="Inhopg2"/>
        <w:rPr>
          <w:rFonts w:asciiTheme="minorHAnsi" w:eastAsiaTheme="minorEastAsia" w:hAnsiTheme="minorHAnsi"/>
          <w:noProof/>
          <w:sz w:val="22"/>
          <w:szCs w:val="22"/>
          <w:lang w:eastAsia="nl-BE"/>
        </w:rPr>
      </w:pPr>
      <w:hyperlink w:anchor="_Toc150870587" w:history="1">
        <w:r w:rsidR="003A6569" w:rsidRPr="002B7C5D">
          <w:rPr>
            <w:rStyle w:val="Hyperlink"/>
            <w:noProof/>
          </w:rPr>
          <w:t>8.2.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_Toc150870587 \h </w:instrText>
        </w:r>
        <w:r w:rsidR="003A6569">
          <w:rPr>
            <w:noProof/>
            <w:webHidden/>
          </w:rPr>
        </w:r>
        <w:r w:rsidR="003A6569">
          <w:rPr>
            <w:noProof/>
            <w:webHidden/>
          </w:rPr>
          <w:fldChar w:fldCharType="separate"/>
        </w:r>
        <w:r w:rsidR="000C4DFF">
          <w:rPr>
            <w:noProof/>
            <w:webHidden/>
          </w:rPr>
          <w:t>50</w:t>
        </w:r>
        <w:r w:rsidR="003A6569">
          <w:rPr>
            <w:noProof/>
            <w:webHidden/>
          </w:rPr>
          <w:fldChar w:fldCharType="end"/>
        </w:r>
      </w:hyperlink>
    </w:p>
    <w:p w14:paraId="4AFF1E86" w14:textId="36411315" w:rsidR="003A6569" w:rsidRDefault="00000000">
      <w:pPr>
        <w:pStyle w:val="Inhopg3"/>
        <w:rPr>
          <w:rFonts w:asciiTheme="minorHAnsi" w:eastAsiaTheme="minorEastAsia" w:hAnsiTheme="minorHAnsi"/>
          <w:noProof/>
          <w:sz w:val="22"/>
          <w:szCs w:val="22"/>
          <w:lang w:eastAsia="nl-BE"/>
        </w:rPr>
      </w:pPr>
      <w:hyperlink w:anchor="_Toc150870588" w:history="1">
        <w:r w:rsidR="003A6569" w:rsidRPr="002B7C5D">
          <w:rPr>
            <w:rStyle w:val="Hyperlink"/>
            <w:noProof/>
            <w:lang w:val="nl-NL"/>
          </w:rPr>
          <w:t>8.2.1.</w:t>
        </w:r>
        <w:r w:rsidR="003A6569">
          <w:rPr>
            <w:rFonts w:asciiTheme="minorHAnsi" w:eastAsiaTheme="minorEastAsia" w:hAnsiTheme="minorHAnsi"/>
            <w:noProof/>
            <w:sz w:val="22"/>
            <w:szCs w:val="22"/>
            <w:lang w:eastAsia="nl-BE"/>
          </w:rPr>
          <w:tab/>
        </w:r>
        <w:r w:rsidR="003A6569" w:rsidRPr="002B7C5D">
          <w:rPr>
            <w:rStyle w:val="Hyperlink"/>
            <w:noProof/>
            <w:lang w:val="nl-NL"/>
          </w:rPr>
          <w:t>Vereisten om voor de gunning in aanmerking te komen: de selectiecriteria</w:t>
        </w:r>
        <w:r w:rsidR="003A6569">
          <w:rPr>
            <w:noProof/>
            <w:webHidden/>
          </w:rPr>
          <w:tab/>
        </w:r>
        <w:r w:rsidR="003A6569">
          <w:rPr>
            <w:noProof/>
            <w:webHidden/>
          </w:rPr>
          <w:fldChar w:fldCharType="begin"/>
        </w:r>
        <w:r w:rsidR="003A6569">
          <w:rPr>
            <w:noProof/>
            <w:webHidden/>
          </w:rPr>
          <w:instrText xml:space="preserve"> PAGEREF _Toc150870588 \h </w:instrText>
        </w:r>
        <w:r w:rsidR="003A6569">
          <w:rPr>
            <w:noProof/>
            <w:webHidden/>
          </w:rPr>
        </w:r>
        <w:r w:rsidR="003A6569">
          <w:rPr>
            <w:noProof/>
            <w:webHidden/>
          </w:rPr>
          <w:fldChar w:fldCharType="separate"/>
        </w:r>
        <w:r w:rsidR="000C4DFF">
          <w:rPr>
            <w:noProof/>
            <w:webHidden/>
          </w:rPr>
          <w:t>50</w:t>
        </w:r>
        <w:r w:rsidR="003A6569">
          <w:rPr>
            <w:noProof/>
            <w:webHidden/>
          </w:rPr>
          <w:fldChar w:fldCharType="end"/>
        </w:r>
      </w:hyperlink>
    </w:p>
    <w:p w14:paraId="3842D4AB" w14:textId="1CF0A8EC" w:rsidR="003A6569" w:rsidRDefault="00000000">
      <w:pPr>
        <w:pStyle w:val="Inhopg3"/>
        <w:rPr>
          <w:rFonts w:asciiTheme="minorHAnsi" w:eastAsiaTheme="minorEastAsia" w:hAnsiTheme="minorHAnsi"/>
          <w:noProof/>
          <w:sz w:val="22"/>
          <w:szCs w:val="22"/>
          <w:lang w:eastAsia="nl-BE"/>
        </w:rPr>
      </w:pPr>
      <w:hyperlink w:anchor="_Toc150870589" w:history="1">
        <w:r w:rsidR="003A6569" w:rsidRPr="002B7C5D">
          <w:rPr>
            <w:rStyle w:val="Hyperlink"/>
            <w:noProof/>
            <w:lang w:val="nl-NL"/>
          </w:rPr>
          <w:t>8.2.2.</w:t>
        </w:r>
        <w:r w:rsidR="003A6569">
          <w:rPr>
            <w:rFonts w:asciiTheme="minorHAnsi" w:eastAsiaTheme="minorEastAsia" w:hAnsiTheme="minorHAnsi"/>
            <w:noProof/>
            <w:sz w:val="22"/>
            <w:szCs w:val="22"/>
            <w:lang w:eastAsia="nl-BE"/>
          </w:rPr>
          <w:tab/>
        </w:r>
        <w:r w:rsidR="003A6569" w:rsidRPr="002B7C5D">
          <w:rPr>
            <w:rStyle w:val="Hyperlink"/>
            <w:noProof/>
            <w:lang w:val="nl-NL"/>
          </w:rPr>
          <w:t>Vereisten bij de uitvoering van de opdracht</w:t>
        </w:r>
        <w:r w:rsidR="003A6569">
          <w:rPr>
            <w:noProof/>
            <w:webHidden/>
          </w:rPr>
          <w:tab/>
        </w:r>
        <w:r w:rsidR="003A6569">
          <w:rPr>
            <w:noProof/>
            <w:webHidden/>
          </w:rPr>
          <w:fldChar w:fldCharType="begin"/>
        </w:r>
        <w:r w:rsidR="003A6569">
          <w:rPr>
            <w:noProof/>
            <w:webHidden/>
          </w:rPr>
          <w:instrText xml:space="preserve"> PAGEREF _Toc150870589 \h </w:instrText>
        </w:r>
        <w:r w:rsidR="003A6569">
          <w:rPr>
            <w:noProof/>
            <w:webHidden/>
          </w:rPr>
        </w:r>
        <w:r w:rsidR="003A6569">
          <w:rPr>
            <w:noProof/>
            <w:webHidden/>
          </w:rPr>
          <w:fldChar w:fldCharType="separate"/>
        </w:r>
        <w:r w:rsidR="000C4DFF">
          <w:rPr>
            <w:noProof/>
            <w:webHidden/>
          </w:rPr>
          <w:t>51</w:t>
        </w:r>
        <w:r w:rsidR="003A6569">
          <w:rPr>
            <w:noProof/>
            <w:webHidden/>
          </w:rPr>
          <w:fldChar w:fldCharType="end"/>
        </w:r>
      </w:hyperlink>
    </w:p>
    <w:p w14:paraId="76E583BA" w14:textId="5A88C43D" w:rsidR="003A6569" w:rsidRDefault="00000000">
      <w:pPr>
        <w:pStyle w:val="Inhopg2"/>
        <w:rPr>
          <w:rFonts w:asciiTheme="minorHAnsi" w:eastAsiaTheme="minorEastAsia" w:hAnsiTheme="minorHAnsi"/>
          <w:noProof/>
          <w:sz w:val="22"/>
          <w:szCs w:val="22"/>
          <w:lang w:eastAsia="nl-BE"/>
        </w:rPr>
      </w:pPr>
      <w:hyperlink w:anchor="_Toc150870590" w:history="1">
        <w:r w:rsidR="003A6569" w:rsidRPr="002B7C5D">
          <w:rPr>
            <w:rStyle w:val="Hyperlink"/>
            <w:noProof/>
          </w:rPr>
          <w:t>8.3.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_Toc150870590 \h </w:instrText>
        </w:r>
        <w:r w:rsidR="003A6569">
          <w:rPr>
            <w:noProof/>
            <w:webHidden/>
          </w:rPr>
        </w:r>
        <w:r w:rsidR="003A6569">
          <w:rPr>
            <w:noProof/>
            <w:webHidden/>
          </w:rPr>
          <w:fldChar w:fldCharType="separate"/>
        </w:r>
        <w:r w:rsidR="000C4DFF">
          <w:rPr>
            <w:noProof/>
            <w:webHidden/>
          </w:rPr>
          <w:t>55</w:t>
        </w:r>
        <w:r w:rsidR="003A6569">
          <w:rPr>
            <w:noProof/>
            <w:webHidden/>
          </w:rPr>
          <w:fldChar w:fldCharType="end"/>
        </w:r>
      </w:hyperlink>
    </w:p>
    <w:p w14:paraId="5DFB6E14" w14:textId="7F6C8053" w:rsidR="003A6569" w:rsidRDefault="00000000">
      <w:pPr>
        <w:pStyle w:val="Inhopg3"/>
        <w:rPr>
          <w:rFonts w:asciiTheme="minorHAnsi" w:eastAsiaTheme="minorEastAsia" w:hAnsiTheme="minorHAnsi"/>
          <w:noProof/>
          <w:sz w:val="22"/>
          <w:szCs w:val="22"/>
          <w:lang w:eastAsia="nl-BE"/>
        </w:rPr>
      </w:pPr>
      <w:hyperlink w:anchor="_Toc150870591" w:history="1">
        <w:r w:rsidR="003A6569" w:rsidRPr="002B7C5D">
          <w:rPr>
            <w:rStyle w:val="Hyperlink"/>
            <w:noProof/>
          </w:rPr>
          <w:t>8.3.1.</w:t>
        </w:r>
        <w:r w:rsidR="003A6569">
          <w:rPr>
            <w:rFonts w:asciiTheme="minorHAnsi" w:eastAsiaTheme="minorEastAsia" w:hAnsiTheme="minorHAnsi"/>
            <w:noProof/>
            <w:sz w:val="22"/>
            <w:szCs w:val="22"/>
            <w:lang w:eastAsia="nl-BE"/>
          </w:rPr>
          <w:tab/>
        </w:r>
        <w:r w:rsidR="003A6569" w:rsidRPr="002B7C5D">
          <w:rPr>
            <w:rStyle w:val="Hyperlink"/>
            <w:noProof/>
          </w:rPr>
          <w:t>Vereisten om voor de gunning in aanmerking te komen: de selectiecriteria</w:t>
        </w:r>
        <w:r w:rsidR="003A6569">
          <w:rPr>
            <w:noProof/>
            <w:webHidden/>
          </w:rPr>
          <w:tab/>
        </w:r>
        <w:r w:rsidR="003A6569">
          <w:rPr>
            <w:noProof/>
            <w:webHidden/>
          </w:rPr>
          <w:fldChar w:fldCharType="begin"/>
        </w:r>
        <w:r w:rsidR="003A6569">
          <w:rPr>
            <w:noProof/>
            <w:webHidden/>
          </w:rPr>
          <w:instrText xml:space="preserve"> PAGEREF _Toc150870591 \h </w:instrText>
        </w:r>
        <w:r w:rsidR="003A6569">
          <w:rPr>
            <w:noProof/>
            <w:webHidden/>
          </w:rPr>
        </w:r>
        <w:r w:rsidR="003A6569">
          <w:rPr>
            <w:noProof/>
            <w:webHidden/>
          </w:rPr>
          <w:fldChar w:fldCharType="separate"/>
        </w:r>
        <w:r w:rsidR="000C4DFF">
          <w:rPr>
            <w:noProof/>
            <w:webHidden/>
          </w:rPr>
          <w:t>55</w:t>
        </w:r>
        <w:r w:rsidR="003A6569">
          <w:rPr>
            <w:noProof/>
            <w:webHidden/>
          </w:rPr>
          <w:fldChar w:fldCharType="end"/>
        </w:r>
      </w:hyperlink>
    </w:p>
    <w:p w14:paraId="11BAEAAE" w14:textId="5FD3EE60" w:rsidR="003A6569" w:rsidRDefault="00000000">
      <w:pPr>
        <w:pStyle w:val="Inhopg3"/>
        <w:rPr>
          <w:rFonts w:asciiTheme="minorHAnsi" w:eastAsiaTheme="minorEastAsia" w:hAnsiTheme="minorHAnsi"/>
          <w:noProof/>
          <w:sz w:val="22"/>
          <w:szCs w:val="22"/>
          <w:lang w:eastAsia="nl-BE"/>
        </w:rPr>
      </w:pPr>
      <w:hyperlink w:anchor="_Toc150870592" w:history="1">
        <w:r w:rsidR="003A6569" w:rsidRPr="002B7C5D">
          <w:rPr>
            <w:rStyle w:val="Hyperlink"/>
            <w:noProof/>
          </w:rPr>
          <w:t>8.3.2.</w:t>
        </w:r>
        <w:r w:rsidR="003A6569">
          <w:rPr>
            <w:rFonts w:asciiTheme="minorHAnsi" w:eastAsiaTheme="minorEastAsia" w:hAnsiTheme="minorHAnsi"/>
            <w:noProof/>
            <w:sz w:val="22"/>
            <w:szCs w:val="22"/>
            <w:lang w:eastAsia="nl-BE"/>
          </w:rPr>
          <w:tab/>
        </w:r>
        <w:r w:rsidR="003A6569" w:rsidRPr="002B7C5D">
          <w:rPr>
            <w:rStyle w:val="Hyperlink"/>
            <w:noProof/>
          </w:rPr>
          <w:t>Selectiecriteria en de (kostprijs van) bewijsmateriaal</w:t>
        </w:r>
        <w:r w:rsidR="003A6569">
          <w:rPr>
            <w:noProof/>
            <w:webHidden/>
          </w:rPr>
          <w:tab/>
        </w:r>
        <w:r w:rsidR="003A6569">
          <w:rPr>
            <w:noProof/>
            <w:webHidden/>
          </w:rPr>
          <w:fldChar w:fldCharType="begin"/>
        </w:r>
        <w:r w:rsidR="003A6569">
          <w:rPr>
            <w:noProof/>
            <w:webHidden/>
          </w:rPr>
          <w:instrText xml:space="preserve"> PAGEREF _Toc150870592 \h </w:instrText>
        </w:r>
        <w:r w:rsidR="003A6569">
          <w:rPr>
            <w:noProof/>
            <w:webHidden/>
          </w:rPr>
        </w:r>
        <w:r w:rsidR="003A6569">
          <w:rPr>
            <w:noProof/>
            <w:webHidden/>
          </w:rPr>
          <w:fldChar w:fldCharType="separate"/>
        </w:r>
        <w:r w:rsidR="000C4DFF">
          <w:rPr>
            <w:noProof/>
            <w:webHidden/>
          </w:rPr>
          <w:t>57</w:t>
        </w:r>
        <w:r w:rsidR="003A6569">
          <w:rPr>
            <w:noProof/>
            <w:webHidden/>
          </w:rPr>
          <w:fldChar w:fldCharType="end"/>
        </w:r>
      </w:hyperlink>
    </w:p>
    <w:p w14:paraId="4AC9E0E3" w14:textId="45C04BBA" w:rsidR="003A6569" w:rsidRDefault="00000000">
      <w:pPr>
        <w:pStyle w:val="Inhopg3"/>
        <w:rPr>
          <w:rFonts w:asciiTheme="minorHAnsi" w:eastAsiaTheme="minorEastAsia" w:hAnsiTheme="minorHAnsi"/>
          <w:noProof/>
          <w:sz w:val="22"/>
          <w:szCs w:val="22"/>
          <w:lang w:eastAsia="nl-BE"/>
        </w:rPr>
      </w:pPr>
      <w:hyperlink w:anchor="_Toc150870593" w:history="1">
        <w:r w:rsidR="003A6569" w:rsidRPr="002B7C5D">
          <w:rPr>
            <w:rStyle w:val="Hyperlink"/>
            <w:noProof/>
          </w:rPr>
          <w:t>8.3.3.</w:t>
        </w:r>
        <w:r w:rsidR="003A6569">
          <w:rPr>
            <w:rFonts w:asciiTheme="minorHAnsi" w:eastAsiaTheme="minorEastAsia" w:hAnsiTheme="minorHAnsi"/>
            <w:noProof/>
            <w:sz w:val="22"/>
            <w:szCs w:val="22"/>
            <w:lang w:eastAsia="nl-BE"/>
          </w:rPr>
          <w:tab/>
        </w:r>
        <w:r w:rsidR="003A6569" w:rsidRPr="002B7C5D">
          <w:rPr>
            <w:rStyle w:val="Hyperlink"/>
            <w:noProof/>
          </w:rPr>
          <w:t>Vereisten bij de uitvoering van de opdracht</w:t>
        </w:r>
        <w:r w:rsidR="003A6569">
          <w:rPr>
            <w:noProof/>
            <w:webHidden/>
          </w:rPr>
          <w:tab/>
        </w:r>
        <w:r w:rsidR="003A6569">
          <w:rPr>
            <w:noProof/>
            <w:webHidden/>
          </w:rPr>
          <w:fldChar w:fldCharType="begin"/>
        </w:r>
        <w:r w:rsidR="003A6569">
          <w:rPr>
            <w:noProof/>
            <w:webHidden/>
          </w:rPr>
          <w:instrText xml:space="preserve"> PAGEREF _Toc150870593 \h </w:instrText>
        </w:r>
        <w:r w:rsidR="003A6569">
          <w:rPr>
            <w:noProof/>
            <w:webHidden/>
          </w:rPr>
        </w:r>
        <w:r w:rsidR="003A6569">
          <w:rPr>
            <w:noProof/>
            <w:webHidden/>
          </w:rPr>
          <w:fldChar w:fldCharType="separate"/>
        </w:r>
        <w:r w:rsidR="000C4DFF">
          <w:rPr>
            <w:noProof/>
            <w:webHidden/>
          </w:rPr>
          <w:t>60</w:t>
        </w:r>
        <w:r w:rsidR="003A6569">
          <w:rPr>
            <w:noProof/>
            <w:webHidden/>
          </w:rPr>
          <w:fldChar w:fldCharType="end"/>
        </w:r>
      </w:hyperlink>
    </w:p>
    <w:p w14:paraId="3DC54FD6" w14:textId="360516D1" w:rsidR="003A6569" w:rsidRDefault="00000000">
      <w:pPr>
        <w:pStyle w:val="Inhopg2"/>
        <w:rPr>
          <w:rFonts w:asciiTheme="minorHAnsi" w:eastAsiaTheme="minorEastAsia" w:hAnsiTheme="minorHAnsi"/>
          <w:noProof/>
          <w:sz w:val="22"/>
          <w:szCs w:val="22"/>
          <w:lang w:eastAsia="nl-BE"/>
        </w:rPr>
      </w:pPr>
      <w:hyperlink w:anchor="_Toc150870594" w:history="1">
        <w:r w:rsidR="003A6569" w:rsidRPr="002B7C5D">
          <w:rPr>
            <w:rStyle w:val="Hyperlink"/>
            <w:noProof/>
          </w:rPr>
          <w:t>8.4.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_Toc150870594 \h </w:instrText>
        </w:r>
        <w:r w:rsidR="003A6569">
          <w:rPr>
            <w:noProof/>
            <w:webHidden/>
          </w:rPr>
        </w:r>
        <w:r w:rsidR="003A6569">
          <w:rPr>
            <w:noProof/>
            <w:webHidden/>
          </w:rPr>
          <w:fldChar w:fldCharType="separate"/>
        </w:r>
        <w:r w:rsidR="000C4DFF">
          <w:rPr>
            <w:noProof/>
            <w:webHidden/>
          </w:rPr>
          <w:t>65</w:t>
        </w:r>
        <w:r w:rsidR="003A6569">
          <w:rPr>
            <w:noProof/>
            <w:webHidden/>
          </w:rPr>
          <w:fldChar w:fldCharType="end"/>
        </w:r>
      </w:hyperlink>
    </w:p>
    <w:p w14:paraId="5594A9BF" w14:textId="1B2234EA" w:rsidR="003A6569" w:rsidRDefault="00000000">
      <w:pPr>
        <w:pStyle w:val="Inhopg1"/>
        <w:rPr>
          <w:rFonts w:asciiTheme="minorHAnsi" w:eastAsiaTheme="minorEastAsia" w:hAnsiTheme="minorHAnsi"/>
          <w:sz w:val="22"/>
          <w:szCs w:val="22"/>
          <w:lang w:eastAsia="nl-BE"/>
        </w:rPr>
      </w:pPr>
      <w:hyperlink w:anchor="_Toc150870595" w:history="1">
        <w:r w:rsidR="003A6569" w:rsidRPr="002B7C5D">
          <w:rPr>
            <w:rStyle w:val="Hyperlink"/>
          </w:rPr>
          <w:t>9.</w:t>
        </w:r>
        <w:r w:rsidR="003A6569">
          <w:rPr>
            <w:rFonts w:asciiTheme="minorHAnsi" w:eastAsiaTheme="minorEastAsia" w:hAnsiTheme="minorHAnsi"/>
            <w:sz w:val="22"/>
            <w:szCs w:val="22"/>
            <w:lang w:eastAsia="nl-BE"/>
          </w:rPr>
          <w:tab/>
        </w:r>
        <w:r w:rsidR="003A6569" w:rsidRPr="002B7C5D">
          <w:rPr>
            <w:rStyle w:val="Hyperlink"/>
          </w:rPr>
          <w:t>Principe 9 – Proportionaliteit bij gunningscriteria en gunnen op basis van de economisch meest voordelige offerte</w:t>
        </w:r>
        <w:r w:rsidR="003A6569">
          <w:rPr>
            <w:webHidden/>
          </w:rPr>
          <w:tab/>
        </w:r>
        <w:r w:rsidR="003A6569">
          <w:rPr>
            <w:webHidden/>
          </w:rPr>
          <w:fldChar w:fldCharType="begin"/>
        </w:r>
        <w:r w:rsidR="003A6569">
          <w:rPr>
            <w:webHidden/>
          </w:rPr>
          <w:instrText xml:space="preserve"> PAGEREF _Toc150870595 \h </w:instrText>
        </w:r>
        <w:r w:rsidR="003A6569">
          <w:rPr>
            <w:webHidden/>
          </w:rPr>
        </w:r>
        <w:r w:rsidR="003A6569">
          <w:rPr>
            <w:webHidden/>
          </w:rPr>
          <w:fldChar w:fldCharType="separate"/>
        </w:r>
        <w:r w:rsidR="000C4DFF">
          <w:rPr>
            <w:webHidden/>
          </w:rPr>
          <w:t>67</w:t>
        </w:r>
        <w:r w:rsidR="003A6569">
          <w:rPr>
            <w:webHidden/>
          </w:rPr>
          <w:fldChar w:fldCharType="end"/>
        </w:r>
      </w:hyperlink>
    </w:p>
    <w:p w14:paraId="4340D888" w14:textId="7142BB81" w:rsidR="003A6569" w:rsidRDefault="00000000">
      <w:pPr>
        <w:pStyle w:val="Inhopg2"/>
        <w:rPr>
          <w:rFonts w:asciiTheme="minorHAnsi" w:eastAsiaTheme="minorEastAsia" w:hAnsiTheme="minorHAnsi"/>
          <w:noProof/>
          <w:sz w:val="22"/>
          <w:szCs w:val="22"/>
          <w:lang w:eastAsia="nl-BE"/>
        </w:rPr>
      </w:pPr>
      <w:hyperlink w:anchor="_Toc150870596" w:history="1">
        <w:r w:rsidR="003A6569" w:rsidRPr="002B7C5D">
          <w:rPr>
            <w:rStyle w:val="Hyperlink"/>
            <w:noProof/>
          </w:rPr>
          <w:t>9.1.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_Toc150870596 \h </w:instrText>
        </w:r>
        <w:r w:rsidR="003A6569">
          <w:rPr>
            <w:noProof/>
            <w:webHidden/>
          </w:rPr>
        </w:r>
        <w:r w:rsidR="003A6569">
          <w:rPr>
            <w:noProof/>
            <w:webHidden/>
          </w:rPr>
          <w:fldChar w:fldCharType="separate"/>
        </w:r>
        <w:r w:rsidR="000C4DFF">
          <w:rPr>
            <w:noProof/>
            <w:webHidden/>
          </w:rPr>
          <w:t>67</w:t>
        </w:r>
        <w:r w:rsidR="003A6569">
          <w:rPr>
            <w:noProof/>
            <w:webHidden/>
          </w:rPr>
          <w:fldChar w:fldCharType="end"/>
        </w:r>
      </w:hyperlink>
    </w:p>
    <w:p w14:paraId="29BFB293" w14:textId="75B57664" w:rsidR="003A6569" w:rsidRDefault="00000000">
      <w:pPr>
        <w:pStyle w:val="Inhopg2"/>
        <w:rPr>
          <w:rFonts w:asciiTheme="minorHAnsi" w:eastAsiaTheme="minorEastAsia" w:hAnsiTheme="minorHAnsi"/>
          <w:noProof/>
          <w:sz w:val="22"/>
          <w:szCs w:val="22"/>
          <w:lang w:eastAsia="nl-BE"/>
        </w:rPr>
      </w:pPr>
      <w:hyperlink w:anchor="_Toc150870597" w:history="1">
        <w:r w:rsidR="003A6569" w:rsidRPr="002B7C5D">
          <w:rPr>
            <w:rStyle w:val="Hyperlink"/>
            <w:noProof/>
          </w:rPr>
          <w:t>9.2.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_Toc150870597 \h </w:instrText>
        </w:r>
        <w:r w:rsidR="003A6569">
          <w:rPr>
            <w:noProof/>
            <w:webHidden/>
          </w:rPr>
        </w:r>
        <w:r w:rsidR="003A6569">
          <w:rPr>
            <w:noProof/>
            <w:webHidden/>
          </w:rPr>
          <w:fldChar w:fldCharType="separate"/>
        </w:r>
        <w:r w:rsidR="000C4DFF">
          <w:rPr>
            <w:noProof/>
            <w:webHidden/>
          </w:rPr>
          <w:t>68</w:t>
        </w:r>
        <w:r w:rsidR="003A6569">
          <w:rPr>
            <w:noProof/>
            <w:webHidden/>
          </w:rPr>
          <w:fldChar w:fldCharType="end"/>
        </w:r>
      </w:hyperlink>
    </w:p>
    <w:p w14:paraId="3A326AB9" w14:textId="0634E8A6" w:rsidR="003A6569" w:rsidRDefault="00000000">
      <w:pPr>
        <w:pStyle w:val="Inhopg2"/>
        <w:rPr>
          <w:rFonts w:asciiTheme="minorHAnsi" w:eastAsiaTheme="minorEastAsia" w:hAnsiTheme="minorHAnsi"/>
          <w:noProof/>
          <w:sz w:val="22"/>
          <w:szCs w:val="22"/>
          <w:lang w:eastAsia="nl-BE"/>
        </w:rPr>
      </w:pPr>
      <w:hyperlink w:anchor="_Toc150870598" w:history="1">
        <w:r w:rsidR="003A6569" w:rsidRPr="002B7C5D">
          <w:rPr>
            <w:rStyle w:val="Hyperlink"/>
            <w:noProof/>
          </w:rPr>
          <w:t>9.3.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_Toc150870598 \h </w:instrText>
        </w:r>
        <w:r w:rsidR="003A6569">
          <w:rPr>
            <w:noProof/>
            <w:webHidden/>
          </w:rPr>
        </w:r>
        <w:r w:rsidR="003A6569">
          <w:rPr>
            <w:noProof/>
            <w:webHidden/>
          </w:rPr>
          <w:fldChar w:fldCharType="separate"/>
        </w:r>
        <w:r w:rsidR="000C4DFF">
          <w:rPr>
            <w:noProof/>
            <w:webHidden/>
          </w:rPr>
          <w:t>68</w:t>
        </w:r>
        <w:r w:rsidR="003A6569">
          <w:rPr>
            <w:noProof/>
            <w:webHidden/>
          </w:rPr>
          <w:fldChar w:fldCharType="end"/>
        </w:r>
      </w:hyperlink>
    </w:p>
    <w:p w14:paraId="3B351353" w14:textId="0FC09880" w:rsidR="003A6569" w:rsidRDefault="00000000">
      <w:pPr>
        <w:pStyle w:val="Inhopg3"/>
        <w:rPr>
          <w:rFonts w:asciiTheme="minorHAnsi" w:eastAsiaTheme="minorEastAsia" w:hAnsiTheme="minorHAnsi"/>
          <w:noProof/>
          <w:sz w:val="22"/>
          <w:szCs w:val="22"/>
          <w:lang w:eastAsia="nl-BE"/>
        </w:rPr>
      </w:pPr>
      <w:hyperlink w:anchor="_Toc150870599" w:history="1">
        <w:r w:rsidR="003A6569" w:rsidRPr="002B7C5D">
          <w:rPr>
            <w:rStyle w:val="Hyperlink"/>
            <w:noProof/>
          </w:rPr>
          <w:t>9.3.1.</w:t>
        </w:r>
        <w:r w:rsidR="003A6569">
          <w:rPr>
            <w:rFonts w:asciiTheme="minorHAnsi" w:eastAsiaTheme="minorEastAsia" w:hAnsiTheme="minorHAnsi"/>
            <w:noProof/>
            <w:sz w:val="22"/>
            <w:szCs w:val="22"/>
            <w:lang w:eastAsia="nl-BE"/>
          </w:rPr>
          <w:tab/>
        </w:r>
        <w:r w:rsidR="003A6569" w:rsidRPr="002B7C5D">
          <w:rPr>
            <w:rStyle w:val="Hyperlink"/>
            <w:noProof/>
          </w:rPr>
          <w:t>Gunningscriteria</w:t>
        </w:r>
        <w:r w:rsidR="003A6569">
          <w:rPr>
            <w:noProof/>
            <w:webHidden/>
          </w:rPr>
          <w:tab/>
        </w:r>
        <w:r w:rsidR="003A6569">
          <w:rPr>
            <w:noProof/>
            <w:webHidden/>
          </w:rPr>
          <w:fldChar w:fldCharType="begin"/>
        </w:r>
        <w:r w:rsidR="003A6569">
          <w:rPr>
            <w:noProof/>
            <w:webHidden/>
          </w:rPr>
          <w:instrText xml:space="preserve"> PAGEREF _Toc150870599 \h </w:instrText>
        </w:r>
        <w:r w:rsidR="003A6569">
          <w:rPr>
            <w:noProof/>
            <w:webHidden/>
          </w:rPr>
        </w:r>
        <w:r w:rsidR="003A6569">
          <w:rPr>
            <w:noProof/>
            <w:webHidden/>
          </w:rPr>
          <w:fldChar w:fldCharType="separate"/>
        </w:r>
        <w:r w:rsidR="000C4DFF">
          <w:rPr>
            <w:noProof/>
            <w:webHidden/>
          </w:rPr>
          <w:t>68</w:t>
        </w:r>
        <w:r w:rsidR="003A6569">
          <w:rPr>
            <w:noProof/>
            <w:webHidden/>
          </w:rPr>
          <w:fldChar w:fldCharType="end"/>
        </w:r>
      </w:hyperlink>
    </w:p>
    <w:p w14:paraId="7E332201" w14:textId="26E745A4" w:rsidR="003A6569" w:rsidRDefault="00000000">
      <w:pPr>
        <w:pStyle w:val="Inhopg3"/>
        <w:rPr>
          <w:rFonts w:asciiTheme="minorHAnsi" w:eastAsiaTheme="minorEastAsia" w:hAnsiTheme="minorHAnsi"/>
          <w:noProof/>
          <w:sz w:val="22"/>
          <w:szCs w:val="22"/>
          <w:lang w:eastAsia="nl-BE"/>
        </w:rPr>
      </w:pPr>
      <w:hyperlink w:anchor="_Toc150870600" w:history="1">
        <w:r w:rsidR="003A6569" w:rsidRPr="002B7C5D">
          <w:rPr>
            <w:rStyle w:val="Hyperlink"/>
            <w:rFonts w:eastAsia="Lato"/>
            <w:noProof/>
          </w:rPr>
          <w:t>9.3.2.</w:t>
        </w:r>
        <w:r w:rsidR="003A6569">
          <w:rPr>
            <w:rFonts w:asciiTheme="minorHAnsi" w:eastAsiaTheme="minorEastAsia" w:hAnsiTheme="minorHAnsi"/>
            <w:noProof/>
            <w:sz w:val="22"/>
            <w:szCs w:val="22"/>
            <w:lang w:eastAsia="nl-BE"/>
          </w:rPr>
          <w:tab/>
        </w:r>
        <w:r w:rsidR="003A6569" w:rsidRPr="002B7C5D">
          <w:rPr>
            <w:rStyle w:val="Hyperlink"/>
            <w:rFonts w:eastAsia="Lato"/>
            <w:noProof/>
          </w:rPr>
          <w:t>De economisch meest voordelige offerte (EMVO)</w:t>
        </w:r>
        <w:r w:rsidR="003A6569">
          <w:rPr>
            <w:noProof/>
            <w:webHidden/>
          </w:rPr>
          <w:tab/>
        </w:r>
        <w:r w:rsidR="003A6569">
          <w:rPr>
            <w:noProof/>
            <w:webHidden/>
          </w:rPr>
          <w:fldChar w:fldCharType="begin"/>
        </w:r>
        <w:r w:rsidR="003A6569">
          <w:rPr>
            <w:noProof/>
            <w:webHidden/>
          </w:rPr>
          <w:instrText xml:space="preserve"> PAGEREF _Toc150870600 \h </w:instrText>
        </w:r>
        <w:r w:rsidR="003A6569">
          <w:rPr>
            <w:noProof/>
            <w:webHidden/>
          </w:rPr>
        </w:r>
        <w:r w:rsidR="003A6569">
          <w:rPr>
            <w:noProof/>
            <w:webHidden/>
          </w:rPr>
          <w:fldChar w:fldCharType="separate"/>
        </w:r>
        <w:r w:rsidR="000C4DFF">
          <w:rPr>
            <w:noProof/>
            <w:webHidden/>
          </w:rPr>
          <w:t>72</w:t>
        </w:r>
        <w:r w:rsidR="003A6569">
          <w:rPr>
            <w:noProof/>
            <w:webHidden/>
          </w:rPr>
          <w:fldChar w:fldCharType="end"/>
        </w:r>
      </w:hyperlink>
    </w:p>
    <w:p w14:paraId="0AAC6BD0" w14:textId="490250B5" w:rsidR="003A6569" w:rsidRDefault="00000000">
      <w:pPr>
        <w:pStyle w:val="Inhopg2"/>
        <w:rPr>
          <w:rFonts w:asciiTheme="minorHAnsi" w:eastAsiaTheme="minorEastAsia" w:hAnsiTheme="minorHAnsi"/>
          <w:noProof/>
          <w:sz w:val="22"/>
          <w:szCs w:val="22"/>
          <w:lang w:eastAsia="nl-BE"/>
        </w:rPr>
      </w:pPr>
      <w:hyperlink w:anchor="_Toc150870601" w:history="1">
        <w:r w:rsidR="003A6569" w:rsidRPr="002B7C5D">
          <w:rPr>
            <w:rStyle w:val="Hyperlink"/>
            <w:noProof/>
          </w:rPr>
          <w:t>9.4.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_Toc150870601 \h </w:instrText>
        </w:r>
        <w:r w:rsidR="003A6569">
          <w:rPr>
            <w:noProof/>
            <w:webHidden/>
          </w:rPr>
        </w:r>
        <w:r w:rsidR="003A6569">
          <w:rPr>
            <w:noProof/>
            <w:webHidden/>
          </w:rPr>
          <w:fldChar w:fldCharType="separate"/>
        </w:r>
        <w:r w:rsidR="000C4DFF">
          <w:rPr>
            <w:noProof/>
            <w:webHidden/>
          </w:rPr>
          <w:t>75</w:t>
        </w:r>
        <w:r w:rsidR="003A6569">
          <w:rPr>
            <w:noProof/>
            <w:webHidden/>
          </w:rPr>
          <w:fldChar w:fldCharType="end"/>
        </w:r>
      </w:hyperlink>
    </w:p>
    <w:p w14:paraId="13B0D053" w14:textId="21E42259" w:rsidR="003A6569" w:rsidRDefault="00000000">
      <w:pPr>
        <w:pStyle w:val="Inhopg1"/>
        <w:rPr>
          <w:rFonts w:asciiTheme="minorHAnsi" w:eastAsiaTheme="minorEastAsia" w:hAnsiTheme="minorHAnsi"/>
          <w:sz w:val="22"/>
          <w:szCs w:val="22"/>
          <w:lang w:eastAsia="nl-BE"/>
        </w:rPr>
      </w:pPr>
      <w:hyperlink w:anchor="_Toc150870602" w:history="1">
        <w:r w:rsidR="003A6569" w:rsidRPr="002B7C5D">
          <w:rPr>
            <w:rStyle w:val="Hyperlink"/>
          </w:rPr>
          <w:t>10.</w:t>
        </w:r>
        <w:r w:rsidR="003A6569">
          <w:rPr>
            <w:rFonts w:asciiTheme="minorHAnsi" w:eastAsiaTheme="minorEastAsia" w:hAnsiTheme="minorHAnsi"/>
            <w:sz w:val="22"/>
            <w:szCs w:val="22"/>
            <w:lang w:eastAsia="nl-BE"/>
          </w:rPr>
          <w:tab/>
        </w:r>
        <w:r w:rsidR="003A6569" w:rsidRPr="002B7C5D">
          <w:rPr>
            <w:rStyle w:val="Hyperlink"/>
          </w:rPr>
          <w:t>Principe 10 – Gepaste en effectieve mededinging verzekeren bij onderhandelingsprocedures die niet onderworpen zijn aan enige bekendmakingsvorm</w:t>
        </w:r>
        <w:r w:rsidR="003A6569">
          <w:rPr>
            <w:webHidden/>
          </w:rPr>
          <w:tab/>
        </w:r>
        <w:r w:rsidR="003A6569">
          <w:rPr>
            <w:webHidden/>
          </w:rPr>
          <w:fldChar w:fldCharType="begin"/>
        </w:r>
        <w:r w:rsidR="003A6569">
          <w:rPr>
            <w:webHidden/>
          </w:rPr>
          <w:instrText xml:space="preserve"> PAGEREF _Toc150870602 \h </w:instrText>
        </w:r>
        <w:r w:rsidR="003A6569">
          <w:rPr>
            <w:webHidden/>
          </w:rPr>
        </w:r>
        <w:r w:rsidR="003A6569">
          <w:rPr>
            <w:webHidden/>
          </w:rPr>
          <w:fldChar w:fldCharType="separate"/>
        </w:r>
        <w:r w:rsidR="000C4DFF">
          <w:rPr>
            <w:webHidden/>
          </w:rPr>
          <w:t>76</w:t>
        </w:r>
        <w:r w:rsidR="003A6569">
          <w:rPr>
            <w:webHidden/>
          </w:rPr>
          <w:fldChar w:fldCharType="end"/>
        </w:r>
      </w:hyperlink>
    </w:p>
    <w:p w14:paraId="0134B7C1" w14:textId="38D0C6A1" w:rsidR="003A6569" w:rsidRDefault="00000000">
      <w:pPr>
        <w:pStyle w:val="Inhopg2"/>
        <w:rPr>
          <w:rFonts w:asciiTheme="minorHAnsi" w:eastAsiaTheme="minorEastAsia" w:hAnsiTheme="minorHAnsi"/>
          <w:noProof/>
          <w:sz w:val="22"/>
          <w:szCs w:val="22"/>
          <w:lang w:eastAsia="nl-BE"/>
        </w:rPr>
      </w:pPr>
      <w:hyperlink w:anchor="_Toc150870603" w:history="1">
        <w:r w:rsidR="003A6569" w:rsidRPr="002B7C5D">
          <w:rPr>
            <w:rStyle w:val="Hyperlink"/>
            <w:noProof/>
          </w:rPr>
          <w:t>10.1.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_Toc150870603 \h </w:instrText>
        </w:r>
        <w:r w:rsidR="003A6569">
          <w:rPr>
            <w:noProof/>
            <w:webHidden/>
          </w:rPr>
        </w:r>
        <w:r w:rsidR="003A6569">
          <w:rPr>
            <w:noProof/>
            <w:webHidden/>
          </w:rPr>
          <w:fldChar w:fldCharType="separate"/>
        </w:r>
        <w:r w:rsidR="000C4DFF">
          <w:rPr>
            <w:noProof/>
            <w:webHidden/>
          </w:rPr>
          <w:t>76</w:t>
        </w:r>
        <w:r w:rsidR="003A6569">
          <w:rPr>
            <w:noProof/>
            <w:webHidden/>
          </w:rPr>
          <w:fldChar w:fldCharType="end"/>
        </w:r>
      </w:hyperlink>
    </w:p>
    <w:p w14:paraId="5E7A120C" w14:textId="6C9571FF" w:rsidR="003A6569" w:rsidRDefault="00000000">
      <w:pPr>
        <w:pStyle w:val="Inhopg2"/>
        <w:rPr>
          <w:rFonts w:asciiTheme="minorHAnsi" w:eastAsiaTheme="minorEastAsia" w:hAnsiTheme="minorHAnsi"/>
          <w:noProof/>
          <w:sz w:val="22"/>
          <w:szCs w:val="22"/>
          <w:lang w:eastAsia="nl-BE"/>
        </w:rPr>
      </w:pPr>
      <w:hyperlink w:anchor="_Toc150870604" w:history="1">
        <w:r w:rsidR="003A6569" w:rsidRPr="002B7C5D">
          <w:rPr>
            <w:rStyle w:val="Hyperlink"/>
            <w:noProof/>
          </w:rPr>
          <w:t>10.2.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_Toc150870604 \h </w:instrText>
        </w:r>
        <w:r w:rsidR="003A6569">
          <w:rPr>
            <w:noProof/>
            <w:webHidden/>
          </w:rPr>
        </w:r>
        <w:r w:rsidR="003A6569">
          <w:rPr>
            <w:noProof/>
            <w:webHidden/>
          </w:rPr>
          <w:fldChar w:fldCharType="separate"/>
        </w:r>
        <w:r w:rsidR="000C4DFF">
          <w:rPr>
            <w:noProof/>
            <w:webHidden/>
          </w:rPr>
          <w:t>76</w:t>
        </w:r>
        <w:r w:rsidR="003A6569">
          <w:rPr>
            <w:noProof/>
            <w:webHidden/>
          </w:rPr>
          <w:fldChar w:fldCharType="end"/>
        </w:r>
      </w:hyperlink>
    </w:p>
    <w:p w14:paraId="0C133346" w14:textId="78A30279" w:rsidR="003A6569" w:rsidRDefault="00000000">
      <w:pPr>
        <w:pStyle w:val="Inhopg3"/>
        <w:rPr>
          <w:rFonts w:asciiTheme="minorHAnsi" w:eastAsiaTheme="minorEastAsia" w:hAnsiTheme="minorHAnsi"/>
          <w:noProof/>
          <w:sz w:val="22"/>
          <w:szCs w:val="22"/>
          <w:lang w:eastAsia="nl-BE"/>
        </w:rPr>
      </w:pPr>
      <w:hyperlink w:anchor="_Toc150870605" w:history="1">
        <w:r w:rsidR="003A6569" w:rsidRPr="002B7C5D">
          <w:rPr>
            <w:rStyle w:val="Hyperlink"/>
            <w:rFonts w:eastAsia="Lato"/>
            <w:noProof/>
          </w:rPr>
          <w:t>10.2.1.</w:t>
        </w:r>
        <w:r w:rsidR="003A6569">
          <w:rPr>
            <w:rFonts w:asciiTheme="minorHAnsi" w:eastAsiaTheme="minorEastAsia" w:hAnsiTheme="minorHAnsi"/>
            <w:noProof/>
            <w:sz w:val="22"/>
            <w:szCs w:val="22"/>
            <w:lang w:eastAsia="nl-BE"/>
          </w:rPr>
          <w:tab/>
        </w:r>
        <w:r w:rsidR="003A6569" w:rsidRPr="002B7C5D">
          <w:rPr>
            <w:rStyle w:val="Hyperlink"/>
            <w:rFonts w:eastAsia="Lato"/>
            <w:noProof/>
          </w:rPr>
          <w:t>Onderhandelingsprocedures zonder voorafgaande bekendmaking of oproep tot mededinging</w:t>
        </w:r>
        <w:r w:rsidR="003A6569">
          <w:rPr>
            <w:noProof/>
            <w:webHidden/>
          </w:rPr>
          <w:tab/>
        </w:r>
        <w:r w:rsidR="003A6569">
          <w:rPr>
            <w:noProof/>
            <w:webHidden/>
          </w:rPr>
          <w:fldChar w:fldCharType="begin"/>
        </w:r>
        <w:r w:rsidR="003A6569">
          <w:rPr>
            <w:noProof/>
            <w:webHidden/>
          </w:rPr>
          <w:instrText xml:space="preserve"> PAGEREF _Toc150870605 \h </w:instrText>
        </w:r>
        <w:r w:rsidR="003A6569">
          <w:rPr>
            <w:noProof/>
            <w:webHidden/>
          </w:rPr>
        </w:r>
        <w:r w:rsidR="003A6569">
          <w:rPr>
            <w:noProof/>
            <w:webHidden/>
          </w:rPr>
          <w:fldChar w:fldCharType="separate"/>
        </w:r>
        <w:r w:rsidR="000C4DFF">
          <w:rPr>
            <w:noProof/>
            <w:webHidden/>
          </w:rPr>
          <w:t>76</w:t>
        </w:r>
        <w:r w:rsidR="003A6569">
          <w:rPr>
            <w:noProof/>
            <w:webHidden/>
          </w:rPr>
          <w:fldChar w:fldCharType="end"/>
        </w:r>
      </w:hyperlink>
    </w:p>
    <w:p w14:paraId="57A2CC5C" w14:textId="23777C1F" w:rsidR="003A6569" w:rsidRDefault="00000000">
      <w:pPr>
        <w:pStyle w:val="Inhopg3"/>
        <w:rPr>
          <w:rFonts w:asciiTheme="minorHAnsi" w:eastAsiaTheme="minorEastAsia" w:hAnsiTheme="minorHAnsi"/>
          <w:noProof/>
          <w:sz w:val="22"/>
          <w:szCs w:val="22"/>
          <w:lang w:eastAsia="nl-BE"/>
        </w:rPr>
      </w:pPr>
      <w:hyperlink w:anchor="_Toc150870606" w:history="1">
        <w:r w:rsidR="003A6569" w:rsidRPr="002B7C5D">
          <w:rPr>
            <w:rStyle w:val="Hyperlink"/>
            <w:rFonts w:eastAsia="Lato"/>
            <w:noProof/>
          </w:rPr>
          <w:t>10.2.2.</w:t>
        </w:r>
        <w:r w:rsidR="003A6569">
          <w:rPr>
            <w:rFonts w:asciiTheme="minorHAnsi" w:eastAsiaTheme="minorEastAsia" w:hAnsiTheme="minorHAnsi"/>
            <w:noProof/>
            <w:sz w:val="22"/>
            <w:szCs w:val="22"/>
            <w:lang w:eastAsia="nl-BE"/>
          </w:rPr>
          <w:tab/>
        </w:r>
        <w:r w:rsidR="003A6569" w:rsidRPr="002B7C5D">
          <w:rPr>
            <w:rStyle w:val="Hyperlink"/>
            <w:rFonts w:eastAsia="Lato"/>
            <w:noProof/>
          </w:rPr>
          <w:t>Spontane offertes bij de OPZB</w:t>
        </w:r>
        <w:r w:rsidR="003A6569">
          <w:rPr>
            <w:noProof/>
            <w:webHidden/>
          </w:rPr>
          <w:tab/>
        </w:r>
        <w:r w:rsidR="003A6569">
          <w:rPr>
            <w:noProof/>
            <w:webHidden/>
          </w:rPr>
          <w:fldChar w:fldCharType="begin"/>
        </w:r>
        <w:r w:rsidR="003A6569">
          <w:rPr>
            <w:noProof/>
            <w:webHidden/>
          </w:rPr>
          <w:instrText xml:space="preserve"> PAGEREF _Toc150870606 \h </w:instrText>
        </w:r>
        <w:r w:rsidR="003A6569">
          <w:rPr>
            <w:noProof/>
            <w:webHidden/>
          </w:rPr>
        </w:r>
        <w:r w:rsidR="003A6569">
          <w:rPr>
            <w:noProof/>
            <w:webHidden/>
          </w:rPr>
          <w:fldChar w:fldCharType="separate"/>
        </w:r>
        <w:r w:rsidR="000C4DFF">
          <w:rPr>
            <w:noProof/>
            <w:webHidden/>
          </w:rPr>
          <w:t>76</w:t>
        </w:r>
        <w:r w:rsidR="003A6569">
          <w:rPr>
            <w:noProof/>
            <w:webHidden/>
          </w:rPr>
          <w:fldChar w:fldCharType="end"/>
        </w:r>
      </w:hyperlink>
    </w:p>
    <w:p w14:paraId="1B86CDA6" w14:textId="1BE75E87" w:rsidR="003A6569" w:rsidRDefault="00000000">
      <w:pPr>
        <w:pStyle w:val="Inhopg2"/>
        <w:rPr>
          <w:rFonts w:asciiTheme="minorHAnsi" w:eastAsiaTheme="minorEastAsia" w:hAnsiTheme="minorHAnsi"/>
          <w:noProof/>
          <w:sz w:val="22"/>
          <w:szCs w:val="22"/>
          <w:lang w:eastAsia="nl-BE"/>
        </w:rPr>
      </w:pPr>
      <w:hyperlink w:anchor="_Toc150870607" w:history="1">
        <w:r w:rsidR="003A6569" w:rsidRPr="002B7C5D">
          <w:rPr>
            <w:rStyle w:val="Hyperlink"/>
            <w:noProof/>
          </w:rPr>
          <w:t>10.3.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_Toc150870607 \h </w:instrText>
        </w:r>
        <w:r w:rsidR="003A6569">
          <w:rPr>
            <w:noProof/>
            <w:webHidden/>
          </w:rPr>
        </w:r>
        <w:r w:rsidR="003A6569">
          <w:rPr>
            <w:noProof/>
            <w:webHidden/>
          </w:rPr>
          <w:fldChar w:fldCharType="separate"/>
        </w:r>
        <w:r w:rsidR="000C4DFF">
          <w:rPr>
            <w:noProof/>
            <w:webHidden/>
          </w:rPr>
          <w:t>76</w:t>
        </w:r>
        <w:r w:rsidR="003A6569">
          <w:rPr>
            <w:noProof/>
            <w:webHidden/>
          </w:rPr>
          <w:fldChar w:fldCharType="end"/>
        </w:r>
      </w:hyperlink>
    </w:p>
    <w:p w14:paraId="1D8C262F" w14:textId="344EE5EE" w:rsidR="003A6569" w:rsidRDefault="00000000">
      <w:pPr>
        <w:pStyle w:val="Inhopg3"/>
        <w:rPr>
          <w:rFonts w:asciiTheme="minorHAnsi" w:eastAsiaTheme="minorEastAsia" w:hAnsiTheme="minorHAnsi"/>
          <w:noProof/>
          <w:sz w:val="22"/>
          <w:szCs w:val="22"/>
          <w:lang w:eastAsia="nl-BE"/>
        </w:rPr>
      </w:pPr>
      <w:hyperlink w:anchor="_Toc150870608" w:history="1">
        <w:r w:rsidR="003A6569" w:rsidRPr="002B7C5D">
          <w:rPr>
            <w:rStyle w:val="Hyperlink"/>
            <w:rFonts w:eastAsia="Lato"/>
            <w:noProof/>
          </w:rPr>
          <w:t>10.3.1.</w:t>
        </w:r>
        <w:r w:rsidR="003A6569">
          <w:rPr>
            <w:rFonts w:asciiTheme="minorHAnsi" w:eastAsiaTheme="minorEastAsia" w:hAnsiTheme="minorHAnsi"/>
            <w:noProof/>
            <w:sz w:val="22"/>
            <w:szCs w:val="22"/>
            <w:lang w:eastAsia="nl-BE"/>
          </w:rPr>
          <w:tab/>
        </w:r>
        <w:r w:rsidR="003A6569" w:rsidRPr="002B7C5D">
          <w:rPr>
            <w:rStyle w:val="Hyperlink"/>
            <w:rFonts w:eastAsia="Lato"/>
            <w:noProof/>
          </w:rPr>
          <w:t>Mededinging bij de OPZB</w:t>
        </w:r>
        <w:r w:rsidR="003A6569">
          <w:rPr>
            <w:noProof/>
            <w:webHidden/>
          </w:rPr>
          <w:tab/>
        </w:r>
        <w:r w:rsidR="003A6569">
          <w:rPr>
            <w:noProof/>
            <w:webHidden/>
          </w:rPr>
          <w:fldChar w:fldCharType="begin"/>
        </w:r>
        <w:r w:rsidR="003A6569">
          <w:rPr>
            <w:noProof/>
            <w:webHidden/>
          </w:rPr>
          <w:instrText xml:space="preserve"> PAGEREF _Toc150870608 \h </w:instrText>
        </w:r>
        <w:r w:rsidR="003A6569">
          <w:rPr>
            <w:noProof/>
            <w:webHidden/>
          </w:rPr>
        </w:r>
        <w:r w:rsidR="003A6569">
          <w:rPr>
            <w:noProof/>
            <w:webHidden/>
          </w:rPr>
          <w:fldChar w:fldCharType="separate"/>
        </w:r>
        <w:r w:rsidR="000C4DFF">
          <w:rPr>
            <w:noProof/>
            <w:webHidden/>
          </w:rPr>
          <w:t>76</w:t>
        </w:r>
        <w:r w:rsidR="003A6569">
          <w:rPr>
            <w:noProof/>
            <w:webHidden/>
          </w:rPr>
          <w:fldChar w:fldCharType="end"/>
        </w:r>
      </w:hyperlink>
    </w:p>
    <w:p w14:paraId="24A19A7D" w14:textId="5905D728" w:rsidR="003A6569" w:rsidRDefault="00000000">
      <w:pPr>
        <w:pStyle w:val="Inhopg3"/>
        <w:rPr>
          <w:rFonts w:asciiTheme="minorHAnsi" w:eastAsiaTheme="minorEastAsia" w:hAnsiTheme="minorHAnsi"/>
          <w:noProof/>
          <w:sz w:val="22"/>
          <w:szCs w:val="22"/>
          <w:lang w:eastAsia="nl-BE"/>
        </w:rPr>
      </w:pPr>
      <w:hyperlink w:anchor="_Toc150870609" w:history="1">
        <w:r w:rsidR="003A6569" w:rsidRPr="002B7C5D">
          <w:rPr>
            <w:rStyle w:val="Hyperlink"/>
            <w:rFonts w:eastAsia="Lato"/>
            <w:noProof/>
          </w:rPr>
          <w:t>10.3.2.</w:t>
        </w:r>
        <w:r w:rsidR="003A6569">
          <w:rPr>
            <w:rFonts w:asciiTheme="minorHAnsi" w:eastAsiaTheme="minorEastAsia" w:hAnsiTheme="minorHAnsi"/>
            <w:noProof/>
            <w:sz w:val="22"/>
            <w:szCs w:val="22"/>
            <w:lang w:eastAsia="nl-BE"/>
          </w:rPr>
          <w:tab/>
        </w:r>
        <w:r w:rsidR="003A6569" w:rsidRPr="002B7C5D">
          <w:rPr>
            <w:rStyle w:val="Hyperlink"/>
            <w:rFonts w:eastAsia="Lato"/>
            <w:noProof/>
          </w:rPr>
          <w:t>Spontane offertes</w:t>
        </w:r>
        <w:r w:rsidR="003A6569">
          <w:rPr>
            <w:noProof/>
            <w:webHidden/>
          </w:rPr>
          <w:tab/>
        </w:r>
        <w:r w:rsidR="003A6569">
          <w:rPr>
            <w:noProof/>
            <w:webHidden/>
          </w:rPr>
          <w:fldChar w:fldCharType="begin"/>
        </w:r>
        <w:r w:rsidR="003A6569">
          <w:rPr>
            <w:noProof/>
            <w:webHidden/>
          </w:rPr>
          <w:instrText xml:space="preserve"> PAGEREF _Toc150870609 \h </w:instrText>
        </w:r>
        <w:r w:rsidR="003A6569">
          <w:rPr>
            <w:noProof/>
            <w:webHidden/>
          </w:rPr>
        </w:r>
        <w:r w:rsidR="003A6569">
          <w:rPr>
            <w:noProof/>
            <w:webHidden/>
          </w:rPr>
          <w:fldChar w:fldCharType="separate"/>
        </w:r>
        <w:r w:rsidR="000C4DFF">
          <w:rPr>
            <w:noProof/>
            <w:webHidden/>
          </w:rPr>
          <w:t>77</w:t>
        </w:r>
        <w:r w:rsidR="003A6569">
          <w:rPr>
            <w:noProof/>
            <w:webHidden/>
          </w:rPr>
          <w:fldChar w:fldCharType="end"/>
        </w:r>
      </w:hyperlink>
    </w:p>
    <w:p w14:paraId="66B076D6" w14:textId="5B62B489" w:rsidR="003A6569" w:rsidRDefault="00000000">
      <w:pPr>
        <w:pStyle w:val="Inhopg3"/>
        <w:rPr>
          <w:rFonts w:asciiTheme="minorHAnsi" w:eastAsiaTheme="minorEastAsia" w:hAnsiTheme="minorHAnsi"/>
          <w:noProof/>
          <w:sz w:val="22"/>
          <w:szCs w:val="22"/>
          <w:lang w:eastAsia="nl-BE"/>
        </w:rPr>
      </w:pPr>
      <w:hyperlink w:anchor="_Toc150870610" w:history="1">
        <w:r w:rsidR="003A6569" w:rsidRPr="002B7C5D">
          <w:rPr>
            <w:rStyle w:val="Hyperlink"/>
            <w:rFonts w:eastAsia="Lato"/>
            <w:noProof/>
          </w:rPr>
          <w:t>10.3.3.</w:t>
        </w:r>
        <w:r w:rsidR="003A6569">
          <w:rPr>
            <w:rFonts w:asciiTheme="minorHAnsi" w:eastAsiaTheme="minorEastAsia" w:hAnsiTheme="minorHAnsi"/>
            <w:noProof/>
            <w:sz w:val="22"/>
            <w:szCs w:val="22"/>
            <w:lang w:eastAsia="nl-BE"/>
          </w:rPr>
          <w:tab/>
        </w:r>
        <w:r w:rsidR="003A6569" w:rsidRPr="002B7C5D">
          <w:rPr>
            <w:rStyle w:val="Hyperlink"/>
            <w:rFonts w:eastAsia="Lato"/>
            <w:noProof/>
          </w:rPr>
          <w:t>Vrijwillige bekendmaking op Belgisch niveau</w:t>
        </w:r>
        <w:r w:rsidR="003A6569">
          <w:rPr>
            <w:noProof/>
            <w:webHidden/>
          </w:rPr>
          <w:tab/>
        </w:r>
        <w:r w:rsidR="003A6569">
          <w:rPr>
            <w:noProof/>
            <w:webHidden/>
          </w:rPr>
          <w:fldChar w:fldCharType="begin"/>
        </w:r>
        <w:r w:rsidR="003A6569">
          <w:rPr>
            <w:noProof/>
            <w:webHidden/>
          </w:rPr>
          <w:instrText xml:space="preserve"> PAGEREF _Toc150870610 \h </w:instrText>
        </w:r>
        <w:r w:rsidR="003A6569">
          <w:rPr>
            <w:noProof/>
            <w:webHidden/>
          </w:rPr>
        </w:r>
        <w:r w:rsidR="003A6569">
          <w:rPr>
            <w:noProof/>
            <w:webHidden/>
          </w:rPr>
          <w:fldChar w:fldCharType="separate"/>
        </w:r>
        <w:r w:rsidR="000C4DFF">
          <w:rPr>
            <w:noProof/>
            <w:webHidden/>
          </w:rPr>
          <w:t>77</w:t>
        </w:r>
        <w:r w:rsidR="003A6569">
          <w:rPr>
            <w:noProof/>
            <w:webHidden/>
          </w:rPr>
          <w:fldChar w:fldCharType="end"/>
        </w:r>
      </w:hyperlink>
    </w:p>
    <w:p w14:paraId="1ACBF03F" w14:textId="58A5C578" w:rsidR="003A6569" w:rsidRDefault="00000000">
      <w:pPr>
        <w:pStyle w:val="Inhopg2"/>
        <w:rPr>
          <w:rFonts w:asciiTheme="minorHAnsi" w:eastAsiaTheme="minorEastAsia" w:hAnsiTheme="minorHAnsi"/>
          <w:noProof/>
          <w:sz w:val="22"/>
          <w:szCs w:val="22"/>
          <w:lang w:eastAsia="nl-BE"/>
        </w:rPr>
      </w:pPr>
      <w:hyperlink w:anchor="_Toc150870611" w:history="1">
        <w:r w:rsidR="003A6569" w:rsidRPr="002B7C5D">
          <w:rPr>
            <w:rStyle w:val="Hyperlink"/>
            <w:noProof/>
          </w:rPr>
          <w:t>10.4.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_Toc150870611 \h </w:instrText>
        </w:r>
        <w:r w:rsidR="003A6569">
          <w:rPr>
            <w:noProof/>
            <w:webHidden/>
          </w:rPr>
        </w:r>
        <w:r w:rsidR="003A6569">
          <w:rPr>
            <w:noProof/>
            <w:webHidden/>
          </w:rPr>
          <w:fldChar w:fldCharType="separate"/>
        </w:r>
        <w:r w:rsidR="000C4DFF">
          <w:rPr>
            <w:noProof/>
            <w:webHidden/>
          </w:rPr>
          <w:t>78</w:t>
        </w:r>
        <w:r w:rsidR="003A6569">
          <w:rPr>
            <w:noProof/>
            <w:webHidden/>
          </w:rPr>
          <w:fldChar w:fldCharType="end"/>
        </w:r>
      </w:hyperlink>
    </w:p>
    <w:p w14:paraId="1CCC6812" w14:textId="018A365C" w:rsidR="003A6569" w:rsidRDefault="00000000">
      <w:pPr>
        <w:pStyle w:val="Inhopg1"/>
        <w:rPr>
          <w:rFonts w:asciiTheme="minorHAnsi" w:eastAsiaTheme="minorEastAsia" w:hAnsiTheme="minorHAnsi"/>
          <w:sz w:val="22"/>
          <w:szCs w:val="22"/>
          <w:lang w:eastAsia="nl-BE"/>
        </w:rPr>
      </w:pPr>
      <w:hyperlink w:anchor="_Toc150870612" w:history="1">
        <w:r w:rsidR="003A6569" w:rsidRPr="002B7C5D">
          <w:rPr>
            <w:rStyle w:val="Hyperlink"/>
          </w:rPr>
          <w:t>11.</w:t>
        </w:r>
        <w:r w:rsidR="003A6569">
          <w:rPr>
            <w:rFonts w:asciiTheme="minorHAnsi" w:eastAsiaTheme="minorEastAsia" w:hAnsiTheme="minorHAnsi"/>
            <w:sz w:val="22"/>
            <w:szCs w:val="22"/>
            <w:lang w:eastAsia="nl-BE"/>
          </w:rPr>
          <w:tab/>
        </w:r>
        <w:r w:rsidR="003A6569" w:rsidRPr="002B7C5D">
          <w:rPr>
            <w:rStyle w:val="Hyperlink"/>
          </w:rPr>
          <w:t>Principe 11 – Terugkoppeling naar inschrijvers die (niet) geselecteerd / (niet) weerhouden zijn</w:t>
        </w:r>
        <w:r w:rsidR="003A6569">
          <w:rPr>
            <w:webHidden/>
          </w:rPr>
          <w:tab/>
        </w:r>
        <w:r w:rsidR="003A6569">
          <w:rPr>
            <w:webHidden/>
          </w:rPr>
          <w:fldChar w:fldCharType="begin"/>
        </w:r>
        <w:r w:rsidR="003A6569">
          <w:rPr>
            <w:webHidden/>
          </w:rPr>
          <w:instrText xml:space="preserve"> PAGEREF _Toc150870612 \h </w:instrText>
        </w:r>
        <w:r w:rsidR="003A6569">
          <w:rPr>
            <w:webHidden/>
          </w:rPr>
        </w:r>
        <w:r w:rsidR="003A6569">
          <w:rPr>
            <w:webHidden/>
          </w:rPr>
          <w:fldChar w:fldCharType="separate"/>
        </w:r>
        <w:r w:rsidR="000C4DFF">
          <w:rPr>
            <w:webHidden/>
          </w:rPr>
          <w:t>78</w:t>
        </w:r>
        <w:r w:rsidR="003A6569">
          <w:rPr>
            <w:webHidden/>
          </w:rPr>
          <w:fldChar w:fldCharType="end"/>
        </w:r>
      </w:hyperlink>
    </w:p>
    <w:p w14:paraId="68C14371" w14:textId="6D702604" w:rsidR="003A6569" w:rsidRDefault="00000000">
      <w:pPr>
        <w:pStyle w:val="Inhopg2"/>
        <w:rPr>
          <w:rFonts w:asciiTheme="minorHAnsi" w:eastAsiaTheme="minorEastAsia" w:hAnsiTheme="minorHAnsi"/>
          <w:noProof/>
          <w:sz w:val="22"/>
          <w:szCs w:val="22"/>
          <w:lang w:eastAsia="nl-BE"/>
        </w:rPr>
      </w:pPr>
      <w:hyperlink w:anchor="_Toc150870613" w:history="1">
        <w:r w:rsidR="003A6569" w:rsidRPr="002B7C5D">
          <w:rPr>
            <w:rStyle w:val="Hyperlink"/>
            <w:noProof/>
          </w:rPr>
          <w:t>11.1.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_Toc150870613 \h </w:instrText>
        </w:r>
        <w:r w:rsidR="003A6569">
          <w:rPr>
            <w:noProof/>
            <w:webHidden/>
          </w:rPr>
        </w:r>
        <w:r w:rsidR="003A6569">
          <w:rPr>
            <w:noProof/>
            <w:webHidden/>
          </w:rPr>
          <w:fldChar w:fldCharType="separate"/>
        </w:r>
        <w:r w:rsidR="000C4DFF">
          <w:rPr>
            <w:noProof/>
            <w:webHidden/>
          </w:rPr>
          <w:t>78</w:t>
        </w:r>
        <w:r w:rsidR="003A6569">
          <w:rPr>
            <w:noProof/>
            <w:webHidden/>
          </w:rPr>
          <w:fldChar w:fldCharType="end"/>
        </w:r>
      </w:hyperlink>
    </w:p>
    <w:p w14:paraId="59453C23" w14:textId="05040F9C" w:rsidR="003A6569" w:rsidRDefault="00000000">
      <w:pPr>
        <w:pStyle w:val="Inhopg2"/>
        <w:rPr>
          <w:rFonts w:asciiTheme="minorHAnsi" w:eastAsiaTheme="minorEastAsia" w:hAnsiTheme="minorHAnsi"/>
          <w:noProof/>
          <w:sz w:val="22"/>
          <w:szCs w:val="22"/>
          <w:lang w:eastAsia="nl-BE"/>
        </w:rPr>
      </w:pPr>
      <w:hyperlink w:anchor="_Toc150870614" w:history="1">
        <w:r w:rsidR="003A6569" w:rsidRPr="002B7C5D">
          <w:rPr>
            <w:rStyle w:val="Hyperlink"/>
            <w:noProof/>
          </w:rPr>
          <w:t>11.2.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_Toc150870614 \h </w:instrText>
        </w:r>
        <w:r w:rsidR="003A6569">
          <w:rPr>
            <w:noProof/>
            <w:webHidden/>
          </w:rPr>
        </w:r>
        <w:r w:rsidR="003A6569">
          <w:rPr>
            <w:noProof/>
            <w:webHidden/>
          </w:rPr>
          <w:fldChar w:fldCharType="separate"/>
        </w:r>
        <w:r w:rsidR="000C4DFF">
          <w:rPr>
            <w:noProof/>
            <w:webHidden/>
          </w:rPr>
          <w:t>78</w:t>
        </w:r>
        <w:r w:rsidR="003A6569">
          <w:rPr>
            <w:noProof/>
            <w:webHidden/>
          </w:rPr>
          <w:fldChar w:fldCharType="end"/>
        </w:r>
      </w:hyperlink>
    </w:p>
    <w:p w14:paraId="5020EEBE" w14:textId="747C6D8B" w:rsidR="003A6569" w:rsidRDefault="00000000">
      <w:pPr>
        <w:pStyle w:val="Inhopg2"/>
        <w:rPr>
          <w:rFonts w:asciiTheme="minorHAnsi" w:eastAsiaTheme="minorEastAsia" w:hAnsiTheme="minorHAnsi"/>
          <w:noProof/>
          <w:sz w:val="22"/>
          <w:szCs w:val="22"/>
          <w:lang w:eastAsia="nl-BE"/>
        </w:rPr>
      </w:pPr>
      <w:hyperlink w:anchor="_Toc150870615" w:history="1">
        <w:r w:rsidR="003A6569" w:rsidRPr="002B7C5D">
          <w:rPr>
            <w:rStyle w:val="Hyperlink"/>
            <w:noProof/>
          </w:rPr>
          <w:t>11.3.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_Toc150870615 \h </w:instrText>
        </w:r>
        <w:r w:rsidR="003A6569">
          <w:rPr>
            <w:noProof/>
            <w:webHidden/>
          </w:rPr>
        </w:r>
        <w:r w:rsidR="003A6569">
          <w:rPr>
            <w:noProof/>
            <w:webHidden/>
          </w:rPr>
          <w:fldChar w:fldCharType="separate"/>
        </w:r>
        <w:r w:rsidR="000C4DFF">
          <w:rPr>
            <w:noProof/>
            <w:webHidden/>
          </w:rPr>
          <w:t>79</w:t>
        </w:r>
        <w:r w:rsidR="003A6569">
          <w:rPr>
            <w:noProof/>
            <w:webHidden/>
          </w:rPr>
          <w:fldChar w:fldCharType="end"/>
        </w:r>
      </w:hyperlink>
    </w:p>
    <w:p w14:paraId="1A73DBAC" w14:textId="1E18B410" w:rsidR="003A6569" w:rsidRDefault="00000000">
      <w:pPr>
        <w:pStyle w:val="Inhopg3"/>
        <w:rPr>
          <w:rFonts w:asciiTheme="minorHAnsi" w:eastAsiaTheme="minorEastAsia" w:hAnsiTheme="minorHAnsi"/>
          <w:noProof/>
          <w:sz w:val="22"/>
          <w:szCs w:val="22"/>
          <w:lang w:eastAsia="nl-BE"/>
        </w:rPr>
      </w:pPr>
      <w:hyperlink w:anchor="_Toc150870616" w:history="1">
        <w:r w:rsidR="003A6569" w:rsidRPr="002B7C5D">
          <w:rPr>
            <w:rStyle w:val="Hyperlink"/>
            <w:rFonts w:eastAsia="Lato"/>
            <w:noProof/>
            <w:lang w:val="nl"/>
          </w:rPr>
          <w:t>11.3.1.</w:t>
        </w:r>
        <w:r w:rsidR="003A6569">
          <w:rPr>
            <w:rFonts w:asciiTheme="minorHAnsi" w:eastAsiaTheme="minorEastAsia" w:hAnsiTheme="minorHAnsi"/>
            <w:noProof/>
            <w:sz w:val="22"/>
            <w:szCs w:val="22"/>
            <w:lang w:eastAsia="nl-BE"/>
          </w:rPr>
          <w:tab/>
        </w:r>
        <w:r w:rsidR="003A6569" w:rsidRPr="002B7C5D">
          <w:rPr>
            <w:rStyle w:val="Hyperlink"/>
            <w:rFonts w:eastAsia="Lato"/>
            <w:noProof/>
            <w:lang w:val="nl"/>
          </w:rPr>
          <w:t>De verplicht mee te delen informatie</w:t>
        </w:r>
        <w:r w:rsidR="003A6569">
          <w:rPr>
            <w:noProof/>
            <w:webHidden/>
          </w:rPr>
          <w:tab/>
        </w:r>
        <w:r w:rsidR="003A6569">
          <w:rPr>
            <w:noProof/>
            <w:webHidden/>
          </w:rPr>
          <w:fldChar w:fldCharType="begin"/>
        </w:r>
        <w:r w:rsidR="003A6569">
          <w:rPr>
            <w:noProof/>
            <w:webHidden/>
          </w:rPr>
          <w:instrText xml:space="preserve"> PAGEREF _Toc150870616 \h </w:instrText>
        </w:r>
        <w:r w:rsidR="003A6569">
          <w:rPr>
            <w:noProof/>
            <w:webHidden/>
          </w:rPr>
        </w:r>
        <w:r w:rsidR="003A6569">
          <w:rPr>
            <w:noProof/>
            <w:webHidden/>
          </w:rPr>
          <w:fldChar w:fldCharType="separate"/>
        </w:r>
        <w:r w:rsidR="000C4DFF">
          <w:rPr>
            <w:noProof/>
            <w:webHidden/>
          </w:rPr>
          <w:t>79</w:t>
        </w:r>
        <w:r w:rsidR="003A6569">
          <w:rPr>
            <w:noProof/>
            <w:webHidden/>
          </w:rPr>
          <w:fldChar w:fldCharType="end"/>
        </w:r>
      </w:hyperlink>
    </w:p>
    <w:p w14:paraId="69BF177E" w14:textId="5AB54D79" w:rsidR="003A6569" w:rsidRDefault="00000000">
      <w:pPr>
        <w:pStyle w:val="Inhopg3"/>
        <w:rPr>
          <w:rFonts w:asciiTheme="minorHAnsi" w:eastAsiaTheme="minorEastAsia" w:hAnsiTheme="minorHAnsi"/>
          <w:noProof/>
          <w:sz w:val="22"/>
          <w:szCs w:val="22"/>
          <w:lang w:eastAsia="nl-BE"/>
        </w:rPr>
      </w:pPr>
      <w:hyperlink w:anchor="_Toc150870617" w:history="1">
        <w:r w:rsidR="003A6569" w:rsidRPr="002B7C5D">
          <w:rPr>
            <w:rStyle w:val="Hyperlink"/>
            <w:rFonts w:eastAsia="Lato"/>
            <w:noProof/>
            <w:lang w:val="nl"/>
          </w:rPr>
          <w:t>11.3.2.</w:t>
        </w:r>
        <w:r w:rsidR="003A6569">
          <w:rPr>
            <w:rFonts w:asciiTheme="minorHAnsi" w:eastAsiaTheme="minorEastAsia" w:hAnsiTheme="minorHAnsi"/>
            <w:noProof/>
            <w:sz w:val="22"/>
            <w:szCs w:val="22"/>
            <w:lang w:eastAsia="nl-BE"/>
          </w:rPr>
          <w:tab/>
        </w:r>
        <w:r w:rsidR="003A6569" w:rsidRPr="002B7C5D">
          <w:rPr>
            <w:rStyle w:val="Hyperlink"/>
            <w:rFonts w:eastAsia="Lato"/>
            <w:noProof/>
            <w:lang w:val="nl"/>
          </w:rPr>
          <w:t>Onderhandeling, motivering, mededeling en rechtsmiddelen</w:t>
        </w:r>
        <w:r w:rsidR="003A6569">
          <w:rPr>
            <w:noProof/>
            <w:webHidden/>
          </w:rPr>
          <w:tab/>
        </w:r>
        <w:r w:rsidR="003A6569">
          <w:rPr>
            <w:noProof/>
            <w:webHidden/>
          </w:rPr>
          <w:fldChar w:fldCharType="begin"/>
        </w:r>
        <w:r w:rsidR="003A6569">
          <w:rPr>
            <w:noProof/>
            <w:webHidden/>
          </w:rPr>
          <w:instrText xml:space="preserve"> PAGEREF _Toc150870617 \h </w:instrText>
        </w:r>
        <w:r w:rsidR="003A6569">
          <w:rPr>
            <w:noProof/>
            <w:webHidden/>
          </w:rPr>
        </w:r>
        <w:r w:rsidR="003A6569">
          <w:rPr>
            <w:noProof/>
            <w:webHidden/>
          </w:rPr>
          <w:fldChar w:fldCharType="separate"/>
        </w:r>
        <w:r w:rsidR="000C4DFF">
          <w:rPr>
            <w:noProof/>
            <w:webHidden/>
          </w:rPr>
          <w:t>81</w:t>
        </w:r>
        <w:r w:rsidR="003A6569">
          <w:rPr>
            <w:noProof/>
            <w:webHidden/>
          </w:rPr>
          <w:fldChar w:fldCharType="end"/>
        </w:r>
      </w:hyperlink>
    </w:p>
    <w:p w14:paraId="62F53DF3" w14:textId="13FAE69F" w:rsidR="003A6569" w:rsidRDefault="00000000">
      <w:pPr>
        <w:pStyle w:val="Inhopg2"/>
        <w:rPr>
          <w:rFonts w:asciiTheme="minorHAnsi" w:eastAsiaTheme="minorEastAsia" w:hAnsiTheme="minorHAnsi"/>
          <w:noProof/>
          <w:sz w:val="22"/>
          <w:szCs w:val="22"/>
          <w:lang w:eastAsia="nl-BE"/>
        </w:rPr>
      </w:pPr>
      <w:hyperlink w:anchor="_Toc150870618" w:history="1">
        <w:r w:rsidR="003A6569" w:rsidRPr="002B7C5D">
          <w:rPr>
            <w:rStyle w:val="Hyperlink"/>
            <w:noProof/>
          </w:rPr>
          <w:t>11.4.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_Toc150870618 \h </w:instrText>
        </w:r>
        <w:r w:rsidR="003A6569">
          <w:rPr>
            <w:noProof/>
            <w:webHidden/>
          </w:rPr>
        </w:r>
        <w:r w:rsidR="003A6569">
          <w:rPr>
            <w:noProof/>
            <w:webHidden/>
          </w:rPr>
          <w:fldChar w:fldCharType="separate"/>
        </w:r>
        <w:r w:rsidR="000C4DFF">
          <w:rPr>
            <w:noProof/>
            <w:webHidden/>
          </w:rPr>
          <w:t>82</w:t>
        </w:r>
        <w:r w:rsidR="003A6569">
          <w:rPr>
            <w:noProof/>
            <w:webHidden/>
          </w:rPr>
          <w:fldChar w:fldCharType="end"/>
        </w:r>
      </w:hyperlink>
    </w:p>
    <w:p w14:paraId="755672CF" w14:textId="69541547" w:rsidR="003A6569" w:rsidRDefault="00000000">
      <w:pPr>
        <w:pStyle w:val="Inhopg1"/>
        <w:rPr>
          <w:rFonts w:asciiTheme="minorHAnsi" w:eastAsiaTheme="minorEastAsia" w:hAnsiTheme="minorHAnsi"/>
          <w:sz w:val="22"/>
          <w:szCs w:val="22"/>
          <w:lang w:eastAsia="nl-BE"/>
        </w:rPr>
      </w:pPr>
      <w:hyperlink w:anchor="_Toc150870619" w:history="1">
        <w:r w:rsidR="003A6569" w:rsidRPr="002B7C5D">
          <w:rPr>
            <w:rStyle w:val="Hyperlink"/>
          </w:rPr>
          <w:t>12.</w:t>
        </w:r>
        <w:r w:rsidR="003A6569">
          <w:rPr>
            <w:rFonts w:asciiTheme="minorHAnsi" w:eastAsiaTheme="minorEastAsia" w:hAnsiTheme="minorHAnsi"/>
            <w:sz w:val="22"/>
            <w:szCs w:val="22"/>
            <w:lang w:eastAsia="nl-BE"/>
          </w:rPr>
          <w:tab/>
        </w:r>
        <w:r w:rsidR="003A6569" w:rsidRPr="002B7C5D">
          <w:rPr>
            <w:rStyle w:val="Hyperlink"/>
          </w:rPr>
          <w:t>Principe 12 – Kleine repetitieve opdrachten en opdrachten van beperkte waarde</w:t>
        </w:r>
        <w:r w:rsidR="003A6569">
          <w:rPr>
            <w:webHidden/>
          </w:rPr>
          <w:tab/>
        </w:r>
        <w:r w:rsidR="003A6569">
          <w:rPr>
            <w:webHidden/>
          </w:rPr>
          <w:fldChar w:fldCharType="begin"/>
        </w:r>
        <w:r w:rsidR="003A6569">
          <w:rPr>
            <w:webHidden/>
          </w:rPr>
          <w:instrText xml:space="preserve"> PAGEREF _Toc150870619 \h </w:instrText>
        </w:r>
        <w:r w:rsidR="003A6569">
          <w:rPr>
            <w:webHidden/>
          </w:rPr>
        </w:r>
        <w:r w:rsidR="003A6569">
          <w:rPr>
            <w:webHidden/>
          </w:rPr>
          <w:fldChar w:fldCharType="separate"/>
        </w:r>
        <w:r w:rsidR="000C4DFF">
          <w:rPr>
            <w:webHidden/>
          </w:rPr>
          <w:t>82</w:t>
        </w:r>
        <w:r w:rsidR="003A6569">
          <w:rPr>
            <w:webHidden/>
          </w:rPr>
          <w:fldChar w:fldCharType="end"/>
        </w:r>
      </w:hyperlink>
    </w:p>
    <w:p w14:paraId="107F5FBF" w14:textId="64C61039" w:rsidR="003A6569" w:rsidRDefault="00000000">
      <w:pPr>
        <w:pStyle w:val="Inhopg2"/>
        <w:rPr>
          <w:rFonts w:asciiTheme="minorHAnsi" w:eastAsiaTheme="minorEastAsia" w:hAnsiTheme="minorHAnsi"/>
          <w:noProof/>
          <w:sz w:val="22"/>
          <w:szCs w:val="22"/>
          <w:lang w:eastAsia="nl-BE"/>
        </w:rPr>
      </w:pPr>
      <w:hyperlink w:anchor="_Toc150870620" w:history="1">
        <w:r w:rsidR="003A6569" w:rsidRPr="002B7C5D">
          <w:rPr>
            <w:rStyle w:val="Hyperlink"/>
            <w:noProof/>
          </w:rPr>
          <w:t>12.1.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_Toc150870620 \h </w:instrText>
        </w:r>
        <w:r w:rsidR="003A6569">
          <w:rPr>
            <w:noProof/>
            <w:webHidden/>
          </w:rPr>
        </w:r>
        <w:r w:rsidR="003A6569">
          <w:rPr>
            <w:noProof/>
            <w:webHidden/>
          </w:rPr>
          <w:fldChar w:fldCharType="separate"/>
        </w:r>
        <w:r w:rsidR="000C4DFF">
          <w:rPr>
            <w:noProof/>
            <w:webHidden/>
          </w:rPr>
          <w:t>82</w:t>
        </w:r>
        <w:r w:rsidR="003A6569">
          <w:rPr>
            <w:noProof/>
            <w:webHidden/>
          </w:rPr>
          <w:fldChar w:fldCharType="end"/>
        </w:r>
      </w:hyperlink>
    </w:p>
    <w:p w14:paraId="0188CF46" w14:textId="6B1F8D5A" w:rsidR="003A6569" w:rsidRDefault="00000000">
      <w:pPr>
        <w:pStyle w:val="Inhopg2"/>
        <w:rPr>
          <w:rFonts w:asciiTheme="minorHAnsi" w:eastAsiaTheme="minorEastAsia" w:hAnsiTheme="minorHAnsi"/>
          <w:noProof/>
          <w:sz w:val="22"/>
          <w:szCs w:val="22"/>
          <w:lang w:eastAsia="nl-BE"/>
        </w:rPr>
      </w:pPr>
      <w:hyperlink w:anchor="_Toc150870621" w:history="1">
        <w:r w:rsidR="003A6569" w:rsidRPr="002B7C5D">
          <w:rPr>
            <w:rStyle w:val="Hyperlink"/>
            <w:noProof/>
          </w:rPr>
          <w:t>12.2.</w:t>
        </w:r>
        <w:r w:rsidR="003A6569">
          <w:rPr>
            <w:rFonts w:asciiTheme="minorHAnsi" w:eastAsiaTheme="minorEastAsia" w:hAnsiTheme="minorHAnsi"/>
            <w:noProof/>
            <w:sz w:val="22"/>
            <w:szCs w:val="22"/>
            <w:lang w:eastAsia="nl-BE"/>
          </w:rPr>
          <w:tab/>
        </w:r>
        <w:r w:rsidR="003A6569" w:rsidRPr="002B7C5D">
          <w:rPr>
            <w:rStyle w:val="Hyperlink"/>
            <w:noProof/>
          </w:rPr>
          <w:t>Wat zegt de reglementering overheidsopdrachten?</w:t>
        </w:r>
        <w:r w:rsidR="003A6569">
          <w:rPr>
            <w:noProof/>
            <w:webHidden/>
          </w:rPr>
          <w:tab/>
        </w:r>
        <w:r w:rsidR="003A6569">
          <w:rPr>
            <w:noProof/>
            <w:webHidden/>
          </w:rPr>
          <w:fldChar w:fldCharType="begin"/>
        </w:r>
        <w:r w:rsidR="003A6569">
          <w:rPr>
            <w:noProof/>
            <w:webHidden/>
          </w:rPr>
          <w:instrText xml:space="preserve"> PAGEREF _Toc150870621 \h </w:instrText>
        </w:r>
        <w:r w:rsidR="003A6569">
          <w:rPr>
            <w:noProof/>
            <w:webHidden/>
          </w:rPr>
        </w:r>
        <w:r w:rsidR="003A6569">
          <w:rPr>
            <w:noProof/>
            <w:webHidden/>
          </w:rPr>
          <w:fldChar w:fldCharType="separate"/>
        </w:r>
        <w:r w:rsidR="000C4DFF">
          <w:rPr>
            <w:noProof/>
            <w:webHidden/>
          </w:rPr>
          <w:t>83</w:t>
        </w:r>
        <w:r w:rsidR="003A6569">
          <w:rPr>
            <w:noProof/>
            <w:webHidden/>
          </w:rPr>
          <w:fldChar w:fldCharType="end"/>
        </w:r>
      </w:hyperlink>
    </w:p>
    <w:p w14:paraId="78845C56" w14:textId="7AC1D98F" w:rsidR="003A6569" w:rsidRDefault="00000000">
      <w:pPr>
        <w:pStyle w:val="Inhopg3"/>
        <w:rPr>
          <w:rFonts w:asciiTheme="minorHAnsi" w:eastAsiaTheme="minorEastAsia" w:hAnsiTheme="minorHAnsi"/>
          <w:noProof/>
          <w:sz w:val="22"/>
          <w:szCs w:val="22"/>
          <w:lang w:eastAsia="nl-BE"/>
        </w:rPr>
      </w:pPr>
      <w:hyperlink w:anchor="_Toc150870622" w:history="1">
        <w:r w:rsidR="003A6569" w:rsidRPr="002B7C5D">
          <w:rPr>
            <w:rStyle w:val="Hyperlink"/>
            <w:noProof/>
          </w:rPr>
          <w:t>12.2.1.</w:t>
        </w:r>
        <w:r w:rsidR="003A6569">
          <w:rPr>
            <w:rFonts w:asciiTheme="minorHAnsi" w:eastAsiaTheme="minorEastAsia" w:hAnsiTheme="minorHAnsi"/>
            <w:noProof/>
            <w:sz w:val="22"/>
            <w:szCs w:val="22"/>
            <w:lang w:eastAsia="nl-BE"/>
          </w:rPr>
          <w:tab/>
        </w:r>
        <w:r w:rsidR="003A6569" w:rsidRPr="002B7C5D">
          <w:rPr>
            <w:rStyle w:val="Hyperlink"/>
            <w:noProof/>
          </w:rPr>
          <w:t>Overheidsopdrachten van beperkte waarde</w:t>
        </w:r>
        <w:r w:rsidR="003A6569">
          <w:rPr>
            <w:noProof/>
            <w:webHidden/>
          </w:rPr>
          <w:tab/>
        </w:r>
        <w:r w:rsidR="003A6569">
          <w:rPr>
            <w:noProof/>
            <w:webHidden/>
          </w:rPr>
          <w:fldChar w:fldCharType="begin"/>
        </w:r>
        <w:r w:rsidR="003A6569">
          <w:rPr>
            <w:noProof/>
            <w:webHidden/>
          </w:rPr>
          <w:instrText xml:space="preserve"> PAGEREF _Toc150870622 \h </w:instrText>
        </w:r>
        <w:r w:rsidR="003A6569">
          <w:rPr>
            <w:noProof/>
            <w:webHidden/>
          </w:rPr>
        </w:r>
        <w:r w:rsidR="003A6569">
          <w:rPr>
            <w:noProof/>
            <w:webHidden/>
          </w:rPr>
          <w:fldChar w:fldCharType="separate"/>
        </w:r>
        <w:r w:rsidR="000C4DFF">
          <w:rPr>
            <w:noProof/>
            <w:webHidden/>
          </w:rPr>
          <w:t>83</w:t>
        </w:r>
        <w:r w:rsidR="003A6569">
          <w:rPr>
            <w:noProof/>
            <w:webHidden/>
          </w:rPr>
          <w:fldChar w:fldCharType="end"/>
        </w:r>
      </w:hyperlink>
    </w:p>
    <w:p w14:paraId="08D73A05" w14:textId="786DEB0E" w:rsidR="003A6569" w:rsidRDefault="00000000">
      <w:pPr>
        <w:pStyle w:val="Inhopg3"/>
        <w:rPr>
          <w:rFonts w:asciiTheme="minorHAnsi" w:eastAsiaTheme="minorEastAsia" w:hAnsiTheme="minorHAnsi"/>
          <w:noProof/>
          <w:sz w:val="22"/>
          <w:szCs w:val="22"/>
          <w:lang w:eastAsia="nl-BE"/>
        </w:rPr>
      </w:pPr>
      <w:hyperlink w:anchor="_Toc150870623" w:history="1">
        <w:r w:rsidR="003A6569" w:rsidRPr="002B7C5D">
          <w:rPr>
            <w:rStyle w:val="Hyperlink"/>
            <w:noProof/>
          </w:rPr>
          <w:t>12.2.2.</w:t>
        </w:r>
        <w:r w:rsidR="003A6569">
          <w:rPr>
            <w:rFonts w:asciiTheme="minorHAnsi" w:eastAsiaTheme="minorEastAsia" w:hAnsiTheme="minorHAnsi"/>
            <w:noProof/>
            <w:sz w:val="22"/>
            <w:szCs w:val="22"/>
            <w:lang w:eastAsia="nl-BE"/>
          </w:rPr>
          <w:tab/>
        </w:r>
        <w:r w:rsidR="003A6569" w:rsidRPr="002B7C5D">
          <w:rPr>
            <w:rStyle w:val="Hyperlink"/>
            <w:noProof/>
          </w:rPr>
          <w:t>De raamovereenkomst</w:t>
        </w:r>
        <w:r w:rsidR="003A6569">
          <w:rPr>
            <w:noProof/>
            <w:webHidden/>
          </w:rPr>
          <w:tab/>
        </w:r>
        <w:r w:rsidR="003A6569">
          <w:rPr>
            <w:noProof/>
            <w:webHidden/>
          </w:rPr>
          <w:fldChar w:fldCharType="begin"/>
        </w:r>
        <w:r w:rsidR="003A6569">
          <w:rPr>
            <w:noProof/>
            <w:webHidden/>
          </w:rPr>
          <w:instrText xml:space="preserve"> PAGEREF _Toc150870623 \h </w:instrText>
        </w:r>
        <w:r w:rsidR="003A6569">
          <w:rPr>
            <w:noProof/>
            <w:webHidden/>
          </w:rPr>
        </w:r>
        <w:r w:rsidR="003A6569">
          <w:rPr>
            <w:noProof/>
            <w:webHidden/>
          </w:rPr>
          <w:fldChar w:fldCharType="separate"/>
        </w:r>
        <w:r w:rsidR="000C4DFF">
          <w:rPr>
            <w:noProof/>
            <w:webHidden/>
          </w:rPr>
          <w:t>83</w:t>
        </w:r>
        <w:r w:rsidR="003A6569">
          <w:rPr>
            <w:noProof/>
            <w:webHidden/>
          </w:rPr>
          <w:fldChar w:fldCharType="end"/>
        </w:r>
      </w:hyperlink>
    </w:p>
    <w:p w14:paraId="43D98AB0" w14:textId="3414234A" w:rsidR="003A6569" w:rsidRDefault="00000000">
      <w:pPr>
        <w:pStyle w:val="Inhopg3"/>
        <w:rPr>
          <w:rFonts w:asciiTheme="minorHAnsi" w:eastAsiaTheme="minorEastAsia" w:hAnsiTheme="minorHAnsi"/>
          <w:noProof/>
          <w:sz w:val="22"/>
          <w:szCs w:val="22"/>
          <w:lang w:eastAsia="nl-BE"/>
        </w:rPr>
      </w:pPr>
      <w:hyperlink w:anchor="_Toc150870624" w:history="1">
        <w:r w:rsidR="003A6569" w:rsidRPr="002B7C5D">
          <w:rPr>
            <w:rStyle w:val="Hyperlink"/>
            <w:noProof/>
          </w:rPr>
          <w:t>12.2.3.</w:t>
        </w:r>
        <w:r w:rsidR="003A6569">
          <w:rPr>
            <w:rFonts w:asciiTheme="minorHAnsi" w:eastAsiaTheme="minorEastAsia" w:hAnsiTheme="minorHAnsi"/>
            <w:noProof/>
            <w:sz w:val="22"/>
            <w:szCs w:val="22"/>
            <w:lang w:eastAsia="nl-BE"/>
          </w:rPr>
          <w:tab/>
        </w:r>
        <w:r w:rsidR="003A6569" w:rsidRPr="002B7C5D">
          <w:rPr>
            <w:rStyle w:val="Hyperlink"/>
            <w:noProof/>
          </w:rPr>
          <w:t>Het kwalificatiesysteem</w:t>
        </w:r>
        <w:r w:rsidR="003A6569">
          <w:rPr>
            <w:noProof/>
            <w:webHidden/>
          </w:rPr>
          <w:tab/>
        </w:r>
        <w:r w:rsidR="003A6569">
          <w:rPr>
            <w:noProof/>
            <w:webHidden/>
          </w:rPr>
          <w:fldChar w:fldCharType="begin"/>
        </w:r>
        <w:r w:rsidR="003A6569">
          <w:rPr>
            <w:noProof/>
            <w:webHidden/>
          </w:rPr>
          <w:instrText xml:space="preserve"> PAGEREF _Toc150870624 \h </w:instrText>
        </w:r>
        <w:r w:rsidR="003A6569">
          <w:rPr>
            <w:noProof/>
            <w:webHidden/>
          </w:rPr>
        </w:r>
        <w:r w:rsidR="003A6569">
          <w:rPr>
            <w:noProof/>
            <w:webHidden/>
          </w:rPr>
          <w:fldChar w:fldCharType="separate"/>
        </w:r>
        <w:r w:rsidR="000C4DFF">
          <w:rPr>
            <w:noProof/>
            <w:webHidden/>
          </w:rPr>
          <w:t>84</w:t>
        </w:r>
        <w:r w:rsidR="003A6569">
          <w:rPr>
            <w:noProof/>
            <w:webHidden/>
          </w:rPr>
          <w:fldChar w:fldCharType="end"/>
        </w:r>
      </w:hyperlink>
    </w:p>
    <w:p w14:paraId="0BAA569C" w14:textId="5EE4D898" w:rsidR="003A6569" w:rsidRDefault="00000000">
      <w:pPr>
        <w:pStyle w:val="Inhopg2"/>
        <w:rPr>
          <w:rFonts w:asciiTheme="minorHAnsi" w:eastAsiaTheme="minorEastAsia" w:hAnsiTheme="minorHAnsi"/>
          <w:noProof/>
          <w:sz w:val="22"/>
          <w:szCs w:val="22"/>
          <w:lang w:eastAsia="nl-BE"/>
        </w:rPr>
      </w:pPr>
      <w:hyperlink w:anchor="_Toc150870625" w:history="1">
        <w:r w:rsidR="003A6569" w:rsidRPr="002B7C5D">
          <w:rPr>
            <w:rStyle w:val="Hyperlink"/>
            <w:noProof/>
          </w:rPr>
          <w:t>12.3.</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_Toc150870625 \h </w:instrText>
        </w:r>
        <w:r w:rsidR="003A6569">
          <w:rPr>
            <w:noProof/>
            <w:webHidden/>
          </w:rPr>
        </w:r>
        <w:r w:rsidR="003A6569">
          <w:rPr>
            <w:noProof/>
            <w:webHidden/>
          </w:rPr>
          <w:fldChar w:fldCharType="separate"/>
        </w:r>
        <w:r w:rsidR="000C4DFF">
          <w:rPr>
            <w:noProof/>
            <w:webHidden/>
          </w:rPr>
          <w:t>84</w:t>
        </w:r>
        <w:r w:rsidR="003A6569">
          <w:rPr>
            <w:noProof/>
            <w:webHidden/>
          </w:rPr>
          <w:fldChar w:fldCharType="end"/>
        </w:r>
      </w:hyperlink>
    </w:p>
    <w:p w14:paraId="20C95BE4" w14:textId="5F7375F4" w:rsidR="003A6569" w:rsidRDefault="00000000">
      <w:pPr>
        <w:pStyle w:val="Inhopg3"/>
        <w:rPr>
          <w:rFonts w:asciiTheme="minorHAnsi" w:eastAsiaTheme="minorEastAsia" w:hAnsiTheme="minorHAnsi"/>
          <w:noProof/>
          <w:sz w:val="22"/>
          <w:szCs w:val="22"/>
          <w:lang w:eastAsia="nl-BE"/>
        </w:rPr>
      </w:pPr>
      <w:hyperlink w:anchor="_Toc150870626" w:history="1">
        <w:r w:rsidR="003A6569" w:rsidRPr="002B7C5D">
          <w:rPr>
            <w:rStyle w:val="Hyperlink"/>
            <w:noProof/>
          </w:rPr>
          <w:t>12.3.1.</w:t>
        </w:r>
        <w:r w:rsidR="003A6569">
          <w:rPr>
            <w:rFonts w:asciiTheme="minorHAnsi" w:eastAsiaTheme="minorEastAsia" w:hAnsiTheme="minorHAnsi"/>
            <w:noProof/>
            <w:sz w:val="22"/>
            <w:szCs w:val="22"/>
            <w:lang w:eastAsia="nl-BE"/>
          </w:rPr>
          <w:tab/>
        </w:r>
        <w:r w:rsidR="003A6569" w:rsidRPr="002B7C5D">
          <w:rPr>
            <w:rStyle w:val="Hyperlink"/>
            <w:noProof/>
          </w:rPr>
          <w:t>Overheidsopdrachten van beperkte waarde</w:t>
        </w:r>
        <w:r w:rsidR="003A6569">
          <w:rPr>
            <w:noProof/>
            <w:webHidden/>
          </w:rPr>
          <w:tab/>
        </w:r>
        <w:r w:rsidR="003A6569">
          <w:rPr>
            <w:noProof/>
            <w:webHidden/>
          </w:rPr>
          <w:fldChar w:fldCharType="begin"/>
        </w:r>
        <w:r w:rsidR="003A6569">
          <w:rPr>
            <w:noProof/>
            <w:webHidden/>
          </w:rPr>
          <w:instrText xml:space="preserve"> PAGEREF _Toc150870626 \h </w:instrText>
        </w:r>
        <w:r w:rsidR="003A6569">
          <w:rPr>
            <w:noProof/>
            <w:webHidden/>
          </w:rPr>
        </w:r>
        <w:r w:rsidR="003A6569">
          <w:rPr>
            <w:noProof/>
            <w:webHidden/>
          </w:rPr>
          <w:fldChar w:fldCharType="separate"/>
        </w:r>
        <w:r w:rsidR="000C4DFF">
          <w:rPr>
            <w:noProof/>
            <w:webHidden/>
          </w:rPr>
          <w:t>84</w:t>
        </w:r>
        <w:r w:rsidR="003A6569">
          <w:rPr>
            <w:noProof/>
            <w:webHidden/>
          </w:rPr>
          <w:fldChar w:fldCharType="end"/>
        </w:r>
      </w:hyperlink>
    </w:p>
    <w:p w14:paraId="67D6FCA9" w14:textId="4F0F9A3D" w:rsidR="003A6569" w:rsidRDefault="00000000">
      <w:pPr>
        <w:pStyle w:val="Inhopg3"/>
        <w:rPr>
          <w:rFonts w:asciiTheme="minorHAnsi" w:eastAsiaTheme="minorEastAsia" w:hAnsiTheme="minorHAnsi"/>
          <w:noProof/>
          <w:sz w:val="22"/>
          <w:szCs w:val="22"/>
          <w:lang w:eastAsia="nl-BE"/>
        </w:rPr>
      </w:pPr>
      <w:hyperlink w:anchor="_Toc150870627" w:history="1">
        <w:r w:rsidR="003A6569" w:rsidRPr="002B7C5D">
          <w:rPr>
            <w:rStyle w:val="Hyperlink"/>
            <w:noProof/>
            <w:lang w:val="nl-NL"/>
          </w:rPr>
          <w:t>12.3.2.</w:t>
        </w:r>
        <w:r w:rsidR="003A6569">
          <w:rPr>
            <w:rFonts w:asciiTheme="minorHAnsi" w:eastAsiaTheme="minorEastAsia" w:hAnsiTheme="minorHAnsi"/>
            <w:noProof/>
            <w:sz w:val="22"/>
            <w:szCs w:val="22"/>
            <w:lang w:eastAsia="nl-BE"/>
          </w:rPr>
          <w:tab/>
        </w:r>
        <w:r w:rsidR="003A6569" w:rsidRPr="002B7C5D">
          <w:rPr>
            <w:rStyle w:val="Hyperlink"/>
            <w:noProof/>
            <w:lang w:val="nl-NL"/>
          </w:rPr>
          <w:t>Raamovereenkomsten</w:t>
        </w:r>
        <w:r w:rsidR="003A6569">
          <w:rPr>
            <w:noProof/>
            <w:webHidden/>
          </w:rPr>
          <w:tab/>
        </w:r>
        <w:r w:rsidR="003A6569">
          <w:rPr>
            <w:noProof/>
            <w:webHidden/>
          </w:rPr>
          <w:fldChar w:fldCharType="begin"/>
        </w:r>
        <w:r w:rsidR="003A6569">
          <w:rPr>
            <w:noProof/>
            <w:webHidden/>
          </w:rPr>
          <w:instrText xml:space="preserve"> PAGEREF _Toc150870627 \h </w:instrText>
        </w:r>
        <w:r w:rsidR="003A6569">
          <w:rPr>
            <w:noProof/>
            <w:webHidden/>
          </w:rPr>
        </w:r>
        <w:r w:rsidR="003A6569">
          <w:rPr>
            <w:noProof/>
            <w:webHidden/>
          </w:rPr>
          <w:fldChar w:fldCharType="separate"/>
        </w:r>
        <w:r w:rsidR="000C4DFF">
          <w:rPr>
            <w:noProof/>
            <w:webHidden/>
          </w:rPr>
          <w:t>85</w:t>
        </w:r>
        <w:r w:rsidR="003A6569">
          <w:rPr>
            <w:noProof/>
            <w:webHidden/>
          </w:rPr>
          <w:fldChar w:fldCharType="end"/>
        </w:r>
      </w:hyperlink>
    </w:p>
    <w:p w14:paraId="3DA7E07F" w14:textId="349BB711" w:rsidR="003A6569" w:rsidRDefault="00000000">
      <w:pPr>
        <w:pStyle w:val="Inhopg3"/>
        <w:rPr>
          <w:rFonts w:asciiTheme="minorHAnsi" w:eastAsiaTheme="minorEastAsia" w:hAnsiTheme="minorHAnsi"/>
          <w:noProof/>
          <w:sz w:val="22"/>
          <w:szCs w:val="22"/>
          <w:lang w:eastAsia="nl-BE"/>
        </w:rPr>
      </w:pPr>
      <w:hyperlink w:anchor="_Toc150870628" w:history="1">
        <w:r w:rsidR="003A6569" w:rsidRPr="002B7C5D">
          <w:rPr>
            <w:rStyle w:val="Hyperlink"/>
            <w:noProof/>
          </w:rPr>
          <w:t>12.3.3.</w:t>
        </w:r>
        <w:r w:rsidR="003A6569">
          <w:rPr>
            <w:rFonts w:asciiTheme="minorHAnsi" w:eastAsiaTheme="minorEastAsia" w:hAnsiTheme="minorHAnsi"/>
            <w:noProof/>
            <w:sz w:val="22"/>
            <w:szCs w:val="22"/>
            <w:lang w:eastAsia="nl-BE"/>
          </w:rPr>
          <w:tab/>
        </w:r>
        <w:r w:rsidR="003A6569" w:rsidRPr="002B7C5D">
          <w:rPr>
            <w:rStyle w:val="Hyperlink"/>
            <w:noProof/>
          </w:rPr>
          <w:t>Het kwalificatiesysteem</w:t>
        </w:r>
        <w:r w:rsidR="003A6569">
          <w:rPr>
            <w:noProof/>
            <w:webHidden/>
          </w:rPr>
          <w:tab/>
        </w:r>
        <w:r w:rsidR="003A6569">
          <w:rPr>
            <w:noProof/>
            <w:webHidden/>
          </w:rPr>
          <w:fldChar w:fldCharType="begin"/>
        </w:r>
        <w:r w:rsidR="003A6569">
          <w:rPr>
            <w:noProof/>
            <w:webHidden/>
          </w:rPr>
          <w:instrText xml:space="preserve"> PAGEREF _Toc150870628 \h </w:instrText>
        </w:r>
        <w:r w:rsidR="003A6569">
          <w:rPr>
            <w:noProof/>
            <w:webHidden/>
          </w:rPr>
        </w:r>
        <w:r w:rsidR="003A6569">
          <w:rPr>
            <w:noProof/>
            <w:webHidden/>
          </w:rPr>
          <w:fldChar w:fldCharType="separate"/>
        </w:r>
        <w:r w:rsidR="000C4DFF">
          <w:rPr>
            <w:noProof/>
            <w:webHidden/>
          </w:rPr>
          <w:t>88</w:t>
        </w:r>
        <w:r w:rsidR="003A6569">
          <w:rPr>
            <w:noProof/>
            <w:webHidden/>
          </w:rPr>
          <w:fldChar w:fldCharType="end"/>
        </w:r>
      </w:hyperlink>
    </w:p>
    <w:p w14:paraId="6C5C40B3" w14:textId="072F9C3B" w:rsidR="003A6569" w:rsidRDefault="00000000">
      <w:pPr>
        <w:pStyle w:val="Inhopg2"/>
        <w:rPr>
          <w:rFonts w:asciiTheme="minorHAnsi" w:eastAsiaTheme="minorEastAsia" w:hAnsiTheme="minorHAnsi"/>
          <w:noProof/>
          <w:sz w:val="22"/>
          <w:szCs w:val="22"/>
          <w:lang w:eastAsia="nl-BE"/>
        </w:rPr>
      </w:pPr>
      <w:hyperlink w:anchor="_Toc150870629" w:history="1">
        <w:r w:rsidR="003A6569" w:rsidRPr="002B7C5D">
          <w:rPr>
            <w:rStyle w:val="Hyperlink"/>
            <w:noProof/>
          </w:rPr>
          <w:t>12.4.</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_Toc150870629 \h </w:instrText>
        </w:r>
        <w:r w:rsidR="003A6569">
          <w:rPr>
            <w:noProof/>
            <w:webHidden/>
          </w:rPr>
        </w:r>
        <w:r w:rsidR="003A6569">
          <w:rPr>
            <w:noProof/>
            <w:webHidden/>
          </w:rPr>
          <w:fldChar w:fldCharType="separate"/>
        </w:r>
        <w:r w:rsidR="000C4DFF">
          <w:rPr>
            <w:noProof/>
            <w:webHidden/>
          </w:rPr>
          <w:t>89</w:t>
        </w:r>
        <w:r w:rsidR="003A6569">
          <w:rPr>
            <w:noProof/>
            <w:webHidden/>
          </w:rPr>
          <w:fldChar w:fldCharType="end"/>
        </w:r>
      </w:hyperlink>
    </w:p>
    <w:p w14:paraId="2A2B07B1" w14:textId="53A79355" w:rsidR="003A6569" w:rsidRDefault="00000000">
      <w:pPr>
        <w:pStyle w:val="Inhopg1"/>
        <w:rPr>
          <w:rFonts w:asciiTheme="minorHAnsi" w:eastAsiaTheme="minorEastAsia" w:hAnsiTheme="minorHAnsi"/>
          <w:sz w:val="22"/>
          <w:szCs w:val="22"/>
          <w:lang w:eastAsia="nl-BE"/>
        </w:rPr>
      </w:pPr>
      <w:hyperlink w:anchor="_Toc150870630" w:history="1">
        <w:r w:rsidR="003A6569" w:rsidRPr="002B7C5D">
          <w:rPr>
            <w:rStyle w:val="Hyperlink"/>
          </w:rPr>
          <w:t>13.</w:t>
        </w:r>
        <w:r w:rsidR="003A6569">
          <w:rPr>
            <w:rFonts w:asciiTheme="minorHAnsi" w:eastAsiaTheme="minorEastAsia" w:hAnsiTheme="minorHAnsi"/>
            <w:sz w:val="22"/>
            <w:szCs w:val="22"/>
            <w:lang w:eastAsia="nl-BE"/>
          </w:rPr>
          <w:tab/>
        </w:r>
        <w:r w:rsidR="003A6569" w:rsidRPr="002B7C5D">
          <w:rPr>
            <w:rStyle w:val="Hyperlink"/>
          </w:rPr>
          <w:t>Principe 13 – Permanent opleiden van aanbesteders en continu informeren van de ondernemingswereld</w:t>
        </w:r>
        <w:r w:rsidR="003A6569">
          <w:rPr>
            <w:webHidden/>
          </w:rPr>
          <w:tab/>
        </w:r>
        <w:r w:rsidR="003A6569">
          <w:rPr>
            <w:webHidden/>
          </w:rPr>
          <w:fldChar w:fldCharType="begin"/>
        </w:r>
        <w:r w:rsidR="003A6569">
          <w:rPr>
            <w:webHidden/>
          </w:rPr>
          <w:instrText xml:space="preserve"> PAGEREF _Toc150870630 \h </w:instrText>
        </w:r>
        <w:r w:rsidR="003A6569">
          <w:rPr>
            <w:webHidden/>
          </w:rPr>
        </w:r>
        <w:r w:rsidR="003A6569">
          <w:rPr>
            <w:webHidden/>
          </w:rPr>
          <w:fldChar w:fldCharType="separate"/>
        </w:r>
        <w:r w:rsidR="000C4DFF">
          <w:rPr>
            <w:webHidden/>
          </w:rPr>
          <w:t>89</w:t>
        </w:r>
        <w:r w:rsidR="003A6569">
          <w:rPr>
            <w:webHidden/>
          </w:rPr>
          <w:fldChar w:fldCharType="end"/>
        </w:r>
      </w:hyperlink>
    </w:p>
    <w:p w14:paraId="4FD2E419" w14:textId="53E54119" w:rsidR="003A6569" w:rsidRDefault="00000000">
      <w:pPr>
        <w:pStyle w:val="Inhopg2"/>
        <w:rPr>
          <w:rFonts w:asciiTheme="minorHAnsi" w:eastAsiaTheme="minorEastAsia" w:hAnsiTheme="minorHAnsi"/>
          <w:noProof/>
          <w:sz w:val="22"/>
          <w:szCs w:val="22"/>
          <w:lang w:eastAsia="nl-BE"/>
        </w:rPr>
      </w:pPr>
      <w:hyperlink w:anchor="_Toc150870631" w:history="1">
        <w:r w:rsidR="003A6569" w:rsidRPr="002B7C5D">
          <w:rPr>
            <w:rStyle w:val="Hyperlink"/>
            <w:noProof/>
          </w:rPr>
          <w:t>13.1.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_Toc150870631 \h </w:instrText>
        </w:r>
        <w:r w:rsidR="003A6569">
          <w:rPr>
            <w:noProof/>
            <w:webHidden/>
          </w:rPr>
        </w:r>
        <w:r w:rsidR="003A6569">
          <w:rPr>
            <w:noProof/>
            <w:webHidden/>
          </w:rPr>
          <w:fldChar w:fldCharType="separate"/>
        </w:r>
        <w:r w:rsidR="000C4DFF">
          <w:rPr>
            <w:noProof/>
            <w:webHidden/>
          </w:rPr>
          <w:t>89</w:t>
        </w:r>
        <w:r w:rsidR="003A6569">
          <w:rPr>
            <w:noProof/>
            <w:webHidden/>
          </w:rPr>
          <w:fldChar w:fldCharType="end"/>
        </w:r>
      </w:hyperlink>
    </w:p>
    <w:p w14:paraId="688561E8" w14:textId="09A703AA" w:rsidR="003A6569" w:rsidRDefault="00000000">
      <w:pPr>
        <w:pStyle w:val="Inhopg2"/>
        <w:rPr>
          <w:rFonts w:asciiTheme="minorHAnsi" w:eastAsiaTheme="minorEastAsia" w:hAnsiTheme="minorHAnsi"/>
          <w:noProof/>
          <w:sz w:val="22"/>
          <w:szCs w:val="22"/>
          <w:lang w:eastAsia="nl-BE"/>
        </w:rPr>
      </w:pPr>
      <w:hyperlink w:anchor="_Toc150870632" w:history="1">
        <w:r w:rsidR="003A6569" w:rsidRPr="002B7C5D">
          <w:rPr>
            <w:rStyle w:val="Hyperlink"/>
            <w:noProof/>
          </w:rPr>
          <w:t>13.2.</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_Toc150870632 \h </w:instrText>
        </w:r>
        <w:r w:rsidR="003A6569">
          <w:rPr>
            <w:noProof/>
            <w:webHidden/>
          </w:rPr>
        </w:r>
        <w:r w:rsidR="003A6569">
          <w:rPr>
            <w:noProof/>
            <w:webHidden/>
          </w:rPr>
          <w:fldChar w:fldCharType="separate"/>
        </w:r>
        <w:r w:rsidR="000C4DFF">
          <w:rPr>
            <w:noProof/>
            <w:webHidden/>
          </w:rPr>
          <w:t>90</w:t>
        </w:r>
        <w:r w:rsidR="003A6569">
          <w:rPr>
            <w:noProof/>
            <w:webHidden/>
          </w:rPr>
          <w:fldChar w:fldCharType="end"/>
        </w:r>
      </w:hyperlink>
    </w:p>
    <w:p w14:paraId="6009DE6A" w14:textId="3FF20F5E" w:rsidR="003A6569" w:rsidRDefault="00000000">
      <w:pPr>
        <w:pStyle w:val="Inhopg3"/>
        <w:rPr>
          <w:rFonts w:asciiTheme="minorHAnsi" w:eastAsiaTheme="minorEastAsia" w:hAnsiTheme="minorHAnsi"/>
          <w:noProof/>
          <w:sz w:val="22"/>
          <w:szCs w:val="22"/>
          <w:lang w:eastAsia="nl-BE"/>
        </w:rPr>
      </w:pPr>
      <w:hyperlink w:anchor="_Toc150870633" w:history="1">
        <w:r w:rsidR="003A6569" w:rsidRPr="002B7C5D">
          <w:rPr>
            <w:rStyle w:val="Hyperlink"/>
            <w:noProof/>
          </w:rPr>
          <w:t>13.2.1.</w:t>
        </w:r>
        <w:r w:rsidR="003A6569">
          <w:rPr>
            <w:rFonts w:asciiTheme="minorHAnsi" w:eastAsiaTheme="minorEastAsia" w:hAnsiTheme="minorHAnsi"/>
            <w:noProof/>
            <w:sz w:val="22"/>
            <w:szCs w:val="22"/>
            <w:lang w:eastAsia="nl-BE"/>
          </w:rPr>
          <w:tab/>
        </w:r>
        <w:r w:rsidR="003A6569" w:rsidRPr="002B7C5D">
          <w:rPr>
            <w:rStyle w:val="Hyperlink"/>
            <w:noProof/>
          </w:rPr>
          <w:t>Permanente opleiding van aanbesteders</w:t>
        </w:r>
        <w:r w:rsidR="003A6569">
          <w:rPr>
            <w:noProof/>
            <w:webHidden/>
          </w:rPr>
          <w:tab/>
        </w:r>
        <w:r w:rsidR="003A6569">
          <w:rPr>
            <w:noProof/>
            <w:webHidden/>
          </w:rPr>
          <w:fldChar w:fldCharType="begin"/>
        </w:r>
        <w:r w:rsidR="003A6569">
          <w:rPr>
            <w:noProof/>
            <w:webHidden/>
          </w:rPr>
          <w:instrText xml:space="preserve"> PAGEREF _Toc150870633 \h </w:instrText>
        </w:r>
        <w:r w:rsidR="003A6569">
          <w:rPr>
            <w:noProof/>
            <w:webHidden/>
          </w:rPr>
        </w:r>
        <w:r w:rsidR="003A6569">
          <w:rPr>
            <w:noProof/>
            <w:webHidden/>
          </w:rPr>
          <w:fldChar w:fldCharType="separate"/>
        </w:r>
        <w:r w:rsidR="000C4DFF">
          <w:rPr>
            <w:noProof/>
            <w:webHidden/>
          </w:rPr>
          <w:t>90</w:t>
        </w:r>
        <w:r w:rsidR="003A6569">
          <w:rPr>
            <w:noProof/>
            <w:webHidden/>
          </w:rPr>
          <w:fldChar w:fldCharType="end"/>
        </w:r>
      </w:hyperlink>
    </w:p>
    <w:p w14:paraId="75A6803E" w14:textId="0DD89E1F" w:rsidR="003A6569" w:rsidRDefault="00000000">
      <w:pPr>
        <w:pStyle w:val="Inhopg3"/>
        <w:rPr>
          <w:rFonts w:asciiTheme="minorHAnsi" w:eastAsiaTheme="minorEastAsia" w:hAnsiTheme="minorHAnsi"/>
          <w:noProof/>
          <w:sz w:val="22"/>
          <w:szCs w:val="22"/>
          <w:lang w:eastAsia="nl-BE"/>
        </w:rPr>
      </w:pPr>
      <w:hyperlink w:anchor="_Toc150870634" w:history="1">
        <w:r w:rsidR="003A6569" w:rsidRPr="002B7C5D">
          <w:rPr>
            <w:rStyle w:val="Hyperlink"/>
            <w:noProof/>
          </w:rPr>
          <w:t>13.2.2.</w:t>
        </w:r>
        <w:r w:rsidR="003A6569">
          <w:rPr>
            <w:rFonts w:asciiTheme="minorHAnsi" w:eastAsiaTheme="minorEastAsia" w:hAnsiTheme="minorHAnsi"/>
            <w:noProof/>
            <w:sz w:val="22"/>
            <w:szCs w:val="22"/>
            <w:lang w:eastAsia="nl-BE"/>
          </w:rPr>
          <w:tab/>
        </w:r>
        <w:r w:rsidR="003A6569" w:rsidRPr="002B7C5D">
          <w:rPr>
            <w:rStyle w:val="Hyperlink"/>
            <w:noProof/>
          </w:rPr>
          <w:t>Continu informeren van de ondernemingswereld</w:t>
        </w:r>
        <w:r w:rsidR="003A6569">
          <w:rPr>
            <w:noProof/>
            <w:webHidden/>
          </w:rPr>
          <w:tab/>
        </w:r>
        <w:r w:rsidR="003A6569">
          <w:rPr>
            <w:noProof/>
            <w:webHidden/>
          </w:rPr>
          <w:fldChar w:fldCharType="begin"/>
        </w:r>
        <w:r w:rsidR="003A6569">
          <w:rPr>
            <w:noProof/>
            <w:webHidden/>
          </w:rPr>
          <w:instrText xml:space="preserve"> PAGEREF _Toc150870634 \h </w:instrText>
        </w:r>
        <w:r w:rsidR="003A6569">
          <w:rPr>
            <w:noProof/>
            <w:webHidden/>
          </w:rPr>
        </w:r>
        <w:r w:rsidR="003A6569">
          <w:rPr>
            <w:noProof/>
            <w:webHidden/>
          </w:rPr>
          <w:fldChar w:fldCharType="separate"/>
        </w:r>
        <w:r w:rsidR="000C4DFF">
          <w:rPr>
            <w:noProof/>
            <w:webHidden/>
          </w:rPr>
          <w:t>91</w:t>
        </w:r>
        <w:r w:rsidR="003A6569">
          <w:rPr>
            <w:noProof/>
            <w:webHidden/>
          </w:rPr>
          <w:fldChar w:fldCharType="end"/>
        </w:r>
      </w:hyperlink>
    </w:p>
    <w:p w14:paraId="0F92AE68" w14:textId="31B32529" w:rsidR="003A6569" w:rsidRDefault="00000000">
      <w:pPr>
        <w:pStyle w:val="Inhopg2"/>
        <w:rPr>
          <w:rFonts w:asciiTheme="minorHAnsi" w:eastAsiaTheme="minorEastAsia" w:hAnsiTheme="minorHAnsi"/>
          <w:noProof/>
          <w:sz w:val="22"/>
          <w:szCs w:val="22"/>
          <w:lang w:eastAsia="nl-BE"/>
        </w:rPr>
      </w:pPr>
      <w:hyperlink w:anchor="_Toc150870635" w:history="1">
        <w:r w:rsidR="003A6569" w:rsidRPr="002B7C5D">
          <w:rPr>
            <w:rStyle w:val="Hyperlink"/>
            <w:noProof/>
          </w:rPr>
          <w:t>13.3.</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_Toc150870635 \h </w:instrText>
        </w:r>
        <w:r w:rsidR="003A6569">
          <w:rPr>
            <w:noProof/>
            <w:webHidden/>
          </w:rPr>
        </w:r>
        <w:r w:rsidR="003A6569">
          <w:rPr>
            <w:noProof/>
            <w:webHidden/>
          </w:rPr>
          <w:fldChar w:fldCharType="separate"/>
        </w:r>
        <w:r w:rsidR="000C4DFF">
          <w:rPr>
            <w:noProof/>
            <w:webHidden/>
          </w:rPr>
          <w:t>92</w:t>
        </w:r>
        <w:r w:rsidR="003A6569">
          <w:rPr>
            <w:noProof/>
            <w:webHidden/>
          </w:rPr>
          <w:fldChar w:fldCharType="end"/>
        </w:r>
      </w:hyperlink>
    </w:p>
    <w:p w14:paraId="09398435" w14:textId="23F62567" w:rsidR="003A6569" w:rsidRDefault="00000000">
      <w:pPr>
        <w:pStyle w:val="Inhopg1"/>
        <w:rPr>
          <w:rFonts w:asciiTheme="minorHAnsi" w:eastAsiaTheme="minorEastAsia" w:hAnsiTheme="minorHAnsi"/>
          <w:sz w:val="22"/>
          <w:szCs w:val="22"/>
          <w:lang w:eastAsia="nl-BE"/>
        </w:rPr>
      </w:pPr>
      <w:hyperlink w:anchor="_Toc150870636" w:history="1">
        <w:r w:rsidR="003A6569" w:rsidRPr="002B7C5D">
          <w:rPr>
            <w:rStyle w:val="Hyperlink"/>
          </w:rPr>
          <w:t>14.</w:t>
        </w:r>
        <w:r w:rsidR="003A6569">
          <w:rPr>
            <w:rFonts w:asciiTheme="minorHAnsi" w:eastAsiaTheme="minorEastAsia" w:hAnsiTheme="minorHAnsi"/>
            <w:sz w:val="22"/>
            <w:szCs w:val="22"/>
            <w:lang w:eastAsia="nl-BE"/>
          </w:rPr>
          <w:tab/>
        </w:r>
        <w:r w:rsidR="003A6569" w:rsidRPr="002B7C5D">
          <w:rPr>
            <w:rStyle w:val="Hyperlink"/>
          </w:rPr>
          <w:t>Principe 14 – Structurele en kwaliteitsvolle monitoring van de kmo-participatie bij overheidsopdrachten</w:t>
        </w:r>
        <w:r w:rsidR="003A6569">
          <w:rPr>
            <w:webHidden/>
          </w:rPr>
          <w:tab/>
        </w:r>
        <w:r w:rsidR="003A6569">
          <w:rPr>
            <w:webHidden/>
          </w:rPr>
          <w:fldChar w:fldCharType="begin"/>
        </w:r>
        <w:r w:rsidR="003A6569">
          <w:rPr>
            <w:webHidden/>
          </w:rPr>
          <w:instrText xml:space="preserve"> PAGEREF _Toc150870636 \h </w:instrText>
        </w:r>
        <w:r w:rsidR="003A6569">
          <w:rPr>
            <w:webHidden/>
          </w:rPr>
        </w:r>
        <w:r w:rsidR="003A6569">
          <w:rPr>
            <w:webHidden/>
          </w:rPr>
          <w:fldChar w:fldCharType="separate"/>
        </w:r>
        <w:r w:rsidR="000C4DFF">
          <w:rPr>
            <w:webHidden/>
          </w:rPr>
          <w:t>92</w:t>
        </w:r>
        <w:r w:rsidR="003A6569">
          <w:rPr>
            <w:webHidden/>
          </w:rPr>
          <w:fldChar w:fldCharType="end"/>
        </w:r>
      </w:hyperlink>
    </w:p>
    <w:p w14:paraId="7E91901C" w14:textId="378DCA3C" w:rsidR="003A6569" w:rsidRDefault="00000000">
      <w:pPr>
        <w:pStyle w:val="Inhopg2"/>
        <w:rPr>
          <w:rFonts w:asciiTheme="minorHAnsi" w:eastAsiaTheme="minorEastAsia" w:hAnsiTheme="minorHAnsi"/>
          <w:noProof/>
          <w:sz w:val="22"/>
          <w:szCs w:val="22"/>
          <w:lang w:eastAsia="nl-BE"/>
        </w:rPr>
      </w:pPr>
      <w:hyperlink w:anchor="_Toc150870637" w:history="1">
        <w:r w:rsidR="003A6569" w:rsidRPr="002B7C5D">
          <w:rPr>
            <w:rStyle w:val="Hyperlink"/>
            <w:noProof/>
          </w:rPr>
          <w:t>14.1.</w:t>
        </w:r>
        <w:r w:rsidR="003A6569">
          <w:rPr>
            <w:rFonts w:asciiTheme="minorHAnsi" w:eastAsiaTheme="minorEastAsia" w:hAnsiTheme="minorHAnsi"/>
            <w:noProof/>
            <w:sz w:val="22"/>
            <w:szCs w:val="22"/>
            <w:lang w:eastAsia="nl-BE"/>
          </w:rPr>
          <w:tab/>
        </w:r>
        <w:r w:rsidR="003A6569" w:rsidRPr="002B7C5D">
          <w:rPr>
            <w:rStyle w:val="Hyperlink"/>
            <w:noProof/>
          </w:rPr>
          <w:t>Doelstelling</w:t>
        </w:r>
        <w:r w:rsidR="003A6569">
          <w:rPr>
            <w:noProof/>
            <w:webHidden/>
          </w:rPr>
          <w:tab/>
        </w:r>
        <w:r w:rsidR="003A6569">
          <w:rPr>
            <w:noProof/>
            <w:webHidden/>
          </w:rPr>
          <w:fldChar w:fldCharType="begin"/>
        </w:r>
        <w:r w:rsidR="003A6569">
          <w:rPr>
            <w:noProof/>
            <w:webHidden/>
          </w:rPr>
          <w:instrText xml:space="preserve"> PAGEREF _Toc150870637 \h </w:instrText>
        </w:r>
        <w:r w:rsidR="003A6569">
          <w:rPr>
            <w:noProof/>
            <w:webHidden/>
          </w:rPr>
        </w:r>
        <w:r w:rsidR="003A6569">
          <w:rPr>
            <w:noProof/>
            <w:webHidden/>
          </w:rPr>
          <w:fldChar w:fldCharType="separate"/>
        </w:r>
        <w:r w:rsidR="000C4DFF">
          <w:rPr>
            <w:noProof/>
            <w:webHidden/>
          </w:rPr>
          <w:t>92</w:t>
        </w:r>
        <w:r w:rsidR="003A6569">
          <w:rPr>
            <w:noProof/>
            <w:webHidden/>
          </w:rPr>
          <w:fldChar w:fldCharType="end"/>
        </w:r>
      </w:hyperlink>
    </w:p>
    <w:p w14:paraId="31527E7B" w14:textId="333D2AD6" w:rsidR="003A6569" w:rsidRDefault="00000000">
      <w:pPr>
        <w:pStyle w:val="Inhopg2"/>
        <w:rPr>
          <w:rFonts w:asciiTheme="minorHAnsi" w:eastAsiaTheme="minorEastAsia" w:hAnsiTheme="minorHAnsi"/>
          <w:noProof/>
          <w:sz w:val="22"/>
          <w:szCs w:val="22"/>
          <w:lang w:eastAsia="nl-BE"/>
        </w:rPr>
      </w:pPr>
      <w:hyperlink w:anchor="_Toc150870638" w:history="1">
        <w:r w:rsidR="003A6569" w:rsidRPr="002B7C5D">
          <w:rPr>
            <w:rStyle w:val="Hyperlink"/>
            <w:noProof/>
          </w:rPr>
          <w:t>14.2.</w:t>
        </w:r>
        <w:r w:rsidR="003A6569">
          <w:rPr>
            <w:rFonts w:asciiTheme="minorHAnsi" w:eastAsiaTheme="minorEastAsia" w:hAnsiTheme="minorHAnsi"/>
            <w:noProof/>
            <w:sz w:val="22"/>
            <w:szCs w:val="22"/>
            <w:lang w:eastAsia="nl-BE"/>
          </w:rPr>
          <w:tab/>
        </w:r>
        <w:r w:rsidR="003A6569" w:rsidRPr="002B7C5D">
          <w:rPr>
            <w:rStyle w:val="Hyperlink"/>
            <w:noProof/>
          </w:rPr>
          <w:t>Toelichting</w:t>
        </w:r>
        <w:r w:rsidR="003A6569">
          <w:rPr>
            <w:noProof/>
            <w:webHidden/>
          </w:rPr>
          <w:tab/>
        </w:r>
        <w:r w:rsidR="003A6569">
          <w:rPr>
            <w:noProof/>
            <w:webHidden/>
          </w:rPr>
          <w:fldChar w:fldCharType="begin"/>
        </w:r>
        <w:r w:rsidR="003A6569">
          <w:rPr>
            <w:noProof/>
            <w:webHidden/>
          </w:rPr>
          <w:instrText xml:space="preserve"> PAGEREF _Toc150870638 \h </w:instrText>
        </w:r>
        <w:r w:rsidR="003A6569">
          <w:rPr>
            <w:noProof/>
            <w:webHidden/>
          </w:rPr>
        </w:r>
        <w:r w:rsidR="003A6569">
          <w:rPr>
            <w:noProof/>
            <w:webHidden/>
          </w:rPr>
          <w:fldChar w:fldCharType="separate"/>
        </w:r>
        <w:r w:rsidR="000C4DFF">
          <w:rPr>
            <w:noProof/>
            <w:webHidden/>
          </w:rPr>
          <w:t>92</w:t>
        </w:r>
        <w:r w:rsidR="003A6569">
          <w:rPr>
            <w:noProof/>
            <w:webHidden/>
          </w:rPr>
          <w:fldChar w:fldCharType="end"/>
        </w:r>
      </w:hyperlink>
    </w:p>
    <w:p w14:paraId="44CAF559" w14:textId="5B50A1FA" w:rsidR="003A6569" w:rsidRDefault="00000000">
      <w:pPr>
        <w:pStyle w:val="Inhopg3"/>
        <w:rPr>
          <w:rFonts w:asciiTheme="minorHAnsi" w:eastAsiaTheme="minorEastAsia" w:hAnsiTheme="minorHAnsi"/>
          <w:noProof/>
          <w:sz w:val="22"/>
          <w:szCs w:val="22"/>
          <w:lang w:eastAsia="nl-BE"/>
        </w:rPr>
      </w:pPr>
      <w:hyperlink w:anchor="_Toc150870639" w:history="1">
        <w:r w:rsidR="003A6569" w:rsidRPr="002B7C5D">
          <w:rPr>
            <w:rStyle w:val="Hyperlink"/>
            <w:noProof/>
          </w:rPr>
          <w:t>14.2.1.</w:t>
        </w:r>
        <w:r w:rsidR="003A6569">
          <w:rPr>
            <w:rFonts w:asciiTheme="minorHAnsi" w:eastAsiaTheme="minorEastAsia" w:hAnsiTheme="minorHAnsi"/>
            <w:noProof/>
            <w:sz w:val="22"/>
            <w:szCs w:val="22"/>
            <w:lang w:eastAsia="nl-BE"/>
          </w:rPr>
          <w:tab/>
        </w:r>
        <w:r w:rsidR="003A6569" w:rsidRPr="002B7C5D">
          <w:rPr>
            <w:rStyle w:val="Hyperlink"/>
            <w:noProof/>
          </w:rPr>
          <w:t>Vastgestelde problemen</w:t>
        </w:r>
        <w:r w:rsidR="003A6569">
          <w:rPr>
            <w:noProof/>
            <w:webHidden/>
          </w:rPr>
          <w:tab/>
        </w:r>
        <w:r w:rsidR="003A6569">
          <w:rPr>
            <w:noProof/>
            <w:webHidden/>
          </w:rPr>
          <w:fldChar w:fldCharType="begin"/>
        </w:r>
        <w:r w:rsidR="003A6569">
          <w:rPr>
            <w:noProof/>
            <w:webHidden/>
          </w:rPr>
          <w:instrText xml:space="preserve"> PAGEREF _Toc150870639 \h </w:instrText>
        </w:r>
        <w:r w:rsidR="003A6569">
          <w:rPr>
            <w:noProof/>
            <w:webHidden/>
          </w:rPr>
        </w:r>
        <w:r w:rsidR="003A6569">
          <w:rPr>
            <w:noProof/>
            <w:webHidden/>
          </w:rPr>
          <w:fldChar w:fldCharType="separate"/>
        </w:r>
        <w:r w:rsidR="000C4DFF">
          <w:rPr>
            <w:noProof/>
            <w:webHidden/>
          </w:rPr>
          <w:t>92</w:t>
        </w:r>
        <w:r w:rsidR="003A6569">
          <w:rPr>
            <w:noProof/>
            <w:webHidden/>
          </w:rPr>
          <w:fldChar w:fldCharType="end"/>
        </w:r>
      </w:hyperlink>
    </w:p>
    <w:p w14:paraId="393327CE" w14:textId="4DA9505B" w:rsidR="003A6569" w:rsidRDefault="00000000">
      <w:pPr>
        <w:pStyle w:val="Inhopg3"/>
        <w:rPr>
          <w:rFonts w:asciiTheme="minorHAnsi" w:eastAsiaTheme="minorEastAsia" w:hAnsiTheme="minorHAnsi"/>
          <w:noProof/>
          <w:sz w:val="22"/>
          <w:szCs w:val="22"/>
          <w:lang w:eastAsia="nl-BE"/>
        </w:rPr>
      </w:pPr>
      <w:hyperlink w:anchor="_Toc150870640" w:history="1">
        <w:r w:rsidR="003A6569" w:rsidRPr="002B7C5D">
          <w:rPr>
            <w:rStyle w:val="Hyperlink"/>
            <w:noProof/>
          </w:rPr>
          <w:t>14.2.2.</w:t>
        </w:r>
        <w:r w:rsidR="003A6569">
          <w:rPr>
            <w:rFonts w:asciiTheme="minorHAnsi" w:eastAsiaTheme="minorEastAsia" w:hAnsiTheme="minorHAnsi"/>
            <w:noProof/>
            <w:sz w:val="22"/>
            <w:szCs w:val="22"/>
            <w:lang w:eastAsia="nl-BE"/>
          </w:rPr>
          <w:tab/>
        </w:r>
        <w:r w:rsidR="003A6569" w:rsidRPr="002B7C5D">
          <w:rPr>
            <w:rStyle w:val="Hyperlink"/>
            <w:noProof/>
          </w:rPr>
          <w:t>Beschikbare cijfers op federaal niveau</w:t>
        </w:r>
        <w:r w:rsidR="003A6569">
          <w:rPr>
            <w:noProof/>
            <w:webHidden/>
          </w:rPr>
          <w:tab/>
        </w:r>
        <w:r w:rsidR="003A6569">
          <w:rPr>
            <w:noProof/>
            <w:webHidden/>
          </w:rPr>
          <w:fldChar w:fldCharType="begin"/>
        </w:r>
        <w:r w:rsidR="003A6569">
          <w:rPr>
            <w:noProof/>
            <w:webHidden/>
          </w:rPr>
          <w:instrText xml:space="preserve"> PAGEREF _Toc150870640 \h </w:instrText>
        </w:r>
        <w:r w:rsidR="003A6569">
          <w:rPr>
            <w:noProof/>
            <w:webHidden/>
          </w:rPr>
        </w:r>
        <w:r w:rsidR="003A6569">
          <w:rPr>
            <w:noProof/>
            <w:webHidden/>
          </w:rPr>
          <w:fldChar w:fldCharType="separate"/>
        </w:r>
        <w:r w:rsidR="000C4DFF">
          <w:rPr>
            <w:noProof/>
            <w:webHidden/>
          </w:rPr>
          <w:t>93</w:t>
        </w:r>
        <w:r w:rsidR="003A6569">
          <w:rPr>
            <w:noProof/>
            <w:webHidden/>
          </w:rPr>
          <w:fldChar w:fldCharType="end"/>
        </w:r>
      </w:hyperlink>
    </w:p>
    <w:p w14:paraId="7A8AE6D2" w14:textId="0FAB7D66" w:rsidR="003A6569" w:rsidRDefault="00000000">
      <w:pPr>
        <w:pStyle w:val="Inhopg3"/>
        <w:rPr>
          <w:rFonts w:asciiTheme="minorHAnsi" w:eastAsiaTheme="minorEastAsia" w:hAnsiTheme="minorHAnsi"/>
          <w:noProof/>
          <w:sz w:val="22"/>
          <w:szCs w:val="22"/>
          <w:lang w:eastAsia="nl-BE"/>
        </w:rPr>
      </w:pPr>
      <w:hyperlink w:anchor="_Toc150870641" w:history="1">
        <w:r w:rsidR="003A6569" w:rsidRPr="002B7C5D">
          <w:rPr>
            <w:rStyle w:val="Hyperlink"/>
            <w:noProof/>
          </w:rPr>
          <w:t>14.2.3.</w:t>
        </w:r>
        <w:r w:rsidR="003A6569">
          <w:rPr>
            <w:rFonts w:asciiTheme="minorHAnsi" w:eastAsiaTheme="minorEastAsia" w:hAnsiTheme="minorHAnsi"/>
            <w:noProof/>
            <w:sz w:val="22"/>
            <w:szCs w:val="22"/>
            <w:lang w:eastAsia="nl-BE"/>
          </w:rPr>
          <w:tab/>
        </w:r>
        <w:r w:rsidR="003A6569" w:rsidRPr="002B7C5D">
          <w:rPr>
            <w:rStyle w:val="Hyperlink"/>
            <w:noProof/>
          </w:rPr>
          <w:t>Geïmplementeerde maatregelen</w:t>
        </w:r>
        <w:r w:rsidR="003A6569">
          <w:rPr>
            <w:noProof/>
            <w:webHidden/>
          </w:rPr>
          <w:tab/>
        </w:r>
        <w:r w:rsidR="003A6569">
          <w:rPr>
            <w:noProof/>
            <w:webHidden/>
          </w:rPr>
          <w:fldChar w:fldCharType="begin"/>
        </w:r>
        <w:r w:rsidR="003A6569">
          <w:rPr>
            <w:noProof/>
            <w:webHidden/>
          </w:rPr>
          <w:instrText xml:space="preserve"> PAGEREF _Toc150870641 \h </w:instrText>
        </w:r>
        <w:r w:rsidR="003A6569">
          <w:rPr>
            <w:noProof/>
            <w:webHidden/>
          </w:rPr>
        </w:r>
        <w:r w:rsidR="003A6569">
          <w:rPr>
            <w:noProof/>
            <w:webHidden/>
          </w:rPr>
          <w:fldChar w:fldCharType="separate"/>
        </w:r>
        <w:r w:rsidR="000C4DFF">
          <w:rPr>
            <w:noProof/>
            <w:webHidden/>
          </w:rPr>
          <w:t>95</w:t>
        </w:r>
        <w:r w:rsidR="003A6569">
          <w:rPr>
            <w:noProof/>
            <w:webHidden/>
          </w:rPr>
          <w:fldChar w:fldCharType="end"/>
        </w:r>
      </w:hyperlink>
    </w:p>
    <w:p w14:paraId="3DC5F017" w14:textId="4717EA49" w:rsidR="003A6569" w:rsidRDefault="00000000">
      <w:pPr>
        <w:pStyle w:val="Inhopg3"/>
        <w:rPr>
          <w:rFonts w:asciiTheme="minorHAnsi" w:eastAsiaTheme="minorEastAsia" w:hAnsiTheme="minorHAnsi"/>
          <w:noProof/>
          <w:sz w:val="22"/>
          <w:szCs w:val="22"/>
          <w:lang w:eastAsia="nl-BE"/>
        </w:rPr>
      </w:pPr>
      <w:hyperlink w:anchor="_Toc150870642" w:history="1">
        <w:r w:rsidR="003A6569" w:rsidRPr="002B7C5D">
          <w:rPr>
            <w:rStyle w:val="Hyperlink"/>
            <w:noProof/>
          </w:rPr>
          <w:t>14.2.4.</w:t>
        </w:r>
        <w:r w:rsidR="003A6569">
          <w:rPr>
            <w:rFonts w:asciiTheme="minorHAnsi" w:eastAsiaTheme="minorEastAsia" w:hAnsiTheme="minorHAnsi"/>
            <w:noProof/>
            <w:sz w:val="22"/>
            <w:szCs w:val="22"/>
            <w:lang w:eastAsia="nl-BE"/>
          </w:rPr>
          <w:tab/>
        </w:r>
        <w:r w:rsidR="003A6569" w:rsidRPr="002B7C5D">
          <w:rPr>
            <w:rStyle w:val="Hyperlink"/>
            <w:noProof/>
          </w:rPr>
          <w:t>Toekomst</w:t>
        </w:r>
        <w:r w:rsidR="003A6569">
          <w:rPr>
            <w:noProof/>
            <w:webHidden/>
          </w:rPr>
          <w:tab/>
        </w:r>
        <w:r w:rsidR="003A6569">
          <w:rPr>
            <w:noProof/>
            <w:webHidden/>
          </w:rPr>
          <w:fldChar w:fldCharType="begin"/>
        </w:r>
        <w:r w:rsidR="003A6569">
          <w:rPr>
            <w:noProof/>
            <w:webHidden/>
          </w:rPr>
          <w:instrText xml:space="preserve"> PAGEREF _Toc150870642 \h </w:instrText>
        </w:r>
        <w:r w:rsidR="003A6569">
          <w:rPr>
            <w:noProof/>
            <w:webHidden/>
          </w:rPr>
        </w:r>
        <w:r w:rsidR="003A6569">
          <w:rPr>
            <w:noProof/>
            <w:webHidden/>
          </w:rPr>
          <w:fldChar w:fldCharType="separate"/>
        </w:r>
        <w:r w:rsidR="000C4DFF">
          <w:rPr>
            <w:noProof/>
            <w:webHidden/>
          </w:rPr>
          <w:t>97</w:t>
        </w:r>
        <w:r w:rsidR="003A6569">
          <w:rPr>
            <w:noProof/>
            <w:webHidden/>
          </w:rPr>
          <w:fldChar w:fldCharType="end"/>
        </w:r>
      </w:hyperlink>
    </w:p>
    <w:p w14:paraId="6D98681C" w14:textId="0B186D87" w:rsidR="003A6569" w:rsidRDefault="00000000">
      <w:pPr>
        <w:pStyle w:val="Inhopg3"/>
        <w:rPr>
          <w:rFonts w:asciiTheme="minorHAnsi" w:eastAsiaTheme="minorEastAsia" w:hAnsiTheme="minorHAnsi"/>
          <w:noProof/>
          <w:sz w:val="22"/>
          <w:szCs w:val="22"/>
          <w:lang w:eastAsia="nl-BE"/>
        </w:rPr>
      </w:pPr>
      <w:hyperlink w:anchor="_Toc150870643" w:history="1">
        <w:r w:rsidR="003A6569" w:rsidRPr="002B7C5D">
          <w:rPr>
            <w:rStyle w:val="Hyperlink"/>
            <w:noProof/>
          </w:rPr>
          <w:t>14.2.5.</w:t>
        </w:r>
        <w:r w:rsidR="003A6569">
          <w:rPr>
            <w:rFonts w:asciiTheme="minorHAnsi" w:eastAsiaTheme="minorEastAsia" w:hAnsiTheme="minorHAnsi"/>
            <w:noProof/>
            <w:sz w:val="22"/>
            <w:szCs w:val="22"/>
            <w:lang w:eastAsia="nl-BE"/>
          </w:rPr>
          <w:tab/>
        </w:r>
        <w:r w:rsidR="003A6569" w:rsidRPr="002B7C5D">
          <w:rPr>
            <w:rStyle w:val="Hyperlink"/>
            <w:noProof/>
          </w:rPr>
          <w:t>Toepassing van het charter en de kmo-participatie</w:t>
        </w:r>
        <w:r w:rsidR="003A6569">
          <w:rPr>
            <w:noProof/>
            <w:webHidden/>
          </w:rPr>
          <w:tab/>
        </w:r>
        <w:r w:rsidR="003A6569">
          <w:rPr>
            <w:noProof/>
            <w:webHidden/>
          </w:rPr>
          <w:fldChar w:fldCharType="begin"/>
        </w:r>
        <w:r w:rsidR="003A6569">
          <w:rPr>
            <w:noProof/>
            <w:webHidden/>
          </w:rPr>
          <w:instrText xml:space="preserve"> PAGEREF _Toc150870643 \h </w:instrText>
        </w:r>
        <w:r w:rsidR="003A6569">
          <w:rPr>
            <w:noProof/>
            <w:webHidden/>
          </w:rPr>
        </w:r>
        <w:r w:rsidR="003A6569">
          <w:rPr>
            <w:noProof/>
            <w:webHidden/>
          </w:rPr>
          <w:fldChar w:fldCharType="separate"/>
        </w:r>
        <w:r w:rsidR="000C4DFF">
          <w:rPr>
            <w:noProof/>
            <w:webHidden/>
          </w:rPr>
          <w:t>97</w:t>
        </w:r>
        <w:r w:rsidR="003A6569">
          <w:rPr>
            <w:noProof/>
            <w:webHidden/>
          </w:rPr>
          <w:fldChar w:fldCharType="end"/>
        </w:r>
      </w:hyperlink>
    </w:p>
    <w:p w14:paraId="0ADEFE80" w14:textId="6B4B4866" w:rsidR="003A6569" w:rsidRDefault="00000000">
      <w:pPr>
        <w:pStyle w:val="Inhopg3"/>
        <w:rPr>
          <w:rFonts w:asciiTheme="minorHAnsi" w:eastAsiaTheme="minorEastAsia" w:hAnsiTheme="minorHAnsi"/>
          <w:noProof/>
          <w:sz w:val="22"/>
          <w:szCs w:val="22"/>
          <w:lang w:eastAsia="nl-BE"/>
        </w:rPr>
      </w:pPr>
      <w:hyperlink w:anchor="_Toc150870644" w:history="1">
        <w:r w:rsidR="003A6569" w:rsidRPr="002B7C5D">
          <w:rPr>
            <w:rStyle w:val="Hyperlink"/>
            <w:noProof/>
          </w:rPr>
          <w:t>14.2.6.</w:t>
        </w:r>
        <w:r w:rsidR="003A6569">
          <w:rPr>
            <w:rFonts w:asciiTheme="minorHAnsi" w:eastAsiaTheme="minorEastAsia" w:hAnsiTheme="minorHAnsi"/>
            <w:noProof/>
            <w:sz w:val="22"/>
            <w:szCs w:val="22"/>
            <w:lang w:eastAsia="nl-BE"/>
          </w:rPr>
          <w:tab/>
        </w:r>
        <w:r w:rsidR="003A6569" w:rsidRPr="002B7C5D">
          <w:rPr>
            <w:rStyle w:val="Hyperlink"/>
            <w:noProof/>
          </w:rPr>
          <w:t>Cijfers over het Belgische ondernemingslandschap</w:t>
        </w:r>
        <w:r w:rsidR="003A6569">
          <w:rPr>
            <w:noProof/>
            <w:webHidden/>
          </w:rPr>
          <w:tab/>
        </w:r>
        <w:r w:rsidR="003A6569">
          <w:rPr>
            <w:noProof/>
            <w:webHidden/>
          </w:rPr>
          <w:fldChar w:fldCharType="begin"/>
        </w:r>
        <w:r w:rsidR="003A6569">
          <w:rPr>
            <w:noProof/>
            <w:webHidden/>
          </w:rPr>
          <w:instrText xml:space="preserve"> PAGEREF _Toc150870644 \h </w:instrText>
        </w:r>
        <w:r w:rsidR="003A6569">
          <w:rPr>
            <w:noProof/>
            <w:webHidden/>
          </w:rPr>
        </w:r>
        <w:r w:rsidR="003A6569">
          <w:rPr>
            <w:noProof/>
            <w:webHidden/>
          </w:rPr>
          <w:fldChar w:fldCharType="separate"/>
        </w:r>
        <w:r w:rsidR="000C4DFF">
          <w:rPr>
            <w:noProof/>
            <w:webHidden/>
          </w:rPr>
          <w:t>98</w:t>
        </w:r>
        <w:r w:rsidR="003A6569">
          <w:rPr>
            <w:noProof/>
            <w:webHidden/>
          </w:rPr>
          <w:fldChar w:fldCharType="end"/>
        </w:r>
      </w:hyperlink>
    </w:p>
    <w:p w14:paraId="27D61F96" w14:textId="308B0D54" w:rsidR="003A6569" w:rsidRDefault="00000000">
      <w:pPr>
        <w:pStyle w:val="Inhopg2"/>
        <w:rPr>
          <w:rFonts w:asciiTheme="minorHAnsi" w:eastAsiaTheme="minorEastAsia" w:hAnsiTheme="minorHAnsi"/>
          <w:noProof/>
          <w:sz w:val="22"/>
          <w:szCs w:val="22"/>
          <w:lang w:eastAsia="nl-BE"/>
        </w:rPr>
      </w:pPr>
      <w:hyperlink w:anchor="_Toc150870645" w:history="1">
        <w:r w:rsidR="003A6569" w:rsidRPr="002B7C5D">
          <w:rPr>
            <w:rStyle w:val="Hyperlink"/>
            <w:noProof/>
          </w:rPr>
          <w:t>14.3.</w:t>
        </w:r>
        <w:r w:rsidR="003A6569">
          <w:rPr>
            <w:rFonts w:asciiTheme="minorHAnsi" w:eastAsiaTheme="minorEastAsia" w:hAnsiTheme="minorHAnsi"/>
            <w:noProof/>
            <w:sz w:val="22"/>
            <w:szCs w:val="22"/>
            <w:lang w:eastAsia="nl-BE"/>
          </w:rPr>
          <w:tab/>
        </w:r>
        <w:r w:rsidR="003A6569" w:rsidRPr="002B7C5D">
          <w:rPr>
            <w:rStyle w:val="Hyperlink"/>
            <w:noProof/>
          </w:rPr>
          <w:t>Richtlijnen en instructies</w:t>
        </w:r>
        <w:r w:rsidR="003A6569">
          <w:rPr>
            <w:noProof/>
            <w:webHidden/>
          </w:rPr>
          <w:tab/>
        </w:r>
        <w:r w:rsidR="003A6569">
          <w:rPr>
            <w:noProof/>
            <w:webHidden/>
          </w:rPr>
          <w:fldChar w:fldCharType="begin"/>
        </w:r>
        <w:r w:rsidR="003A6569">
          <w:rPr>
            <w:noProof/>
            <w:webHidden/>
          </w:rPr>
          <w:instrText xml:space="preserve"> PAGEREF _Toc150870645 \h </w:instrText>
        </w:r>
        <w:r w:rsidR="003A6569">
          <w:rPr>
            <w:noProof/>
            <w:webHidden/>
          </w:rPr>
        </w:r>
        <w:r w:rsidR="003A6569">
          <w:rPr>
            <w:noProof/>
            <w:webHidden/>
          </w:rPr>
          <w:fldChar w:fldCharType="separate"/>
        </w:r>
        <w:r w:rsidR="000C4DFF">
          <w:rPr>
            <w:noProof/>
            <w:webHidden/>
          </w:rPr>
          <w:t>98</w:t>
        </w:r>
        <w:r w:rsidR="003A6569">
          <w:rPr>
            <w:noProof/>
            <w:webHidden/>
          </w:rPr>
          <w:fldChar w:fldCharType="end"/>
        </w:r>
      </w:hyperlink>
    </w:p>
    <w:p w14:paraId="5C8681FA" w14:textId="329EBB27" w:rsidR="003A6569" w:rsidRDefault="00000000">
      <w:pPr>
        <w:pStyle w:val="Inhopg1"/>
        <w:rPr>
          <w:rFonts w:asciiTheme="minorHAnsi" w:eastAsiaTheme="minorEastAsia" w:hAnsiTheme="minorHAnsi"/>
          <w:sz w:val="22"/>
          <w:szCs w:val="22"/>
          <w:lang w:eastAsia="nl-BE"/>
        </w:rPr>
      </w:pPr>
      <w:hyperlink w:anchor="_Toc150870646" w:history="1">
        <w:r w:rsidR="003A6569" w:rsidRPr="002B7C5D">
          <w:rPr>
            <w:rStyle w:val="Hyperlink"/>
          </w:rPr>
          <w:t>Bijlagen</w:t>
        </w:r>
        <w:r w:rsidR="003A6569">
          <w:rPr>
            <w:webHidden/>
          </w:rPr>
          <w:tab/>
        </w:r>
        <w:r w:rsidR="003A6569">
          <w:rPr>
            <w:webHidden/>
          </w:rPr>
          <w:fldChar w:fldCharType="begin"/>
        </w:r>
        <w:r w:rsidR="003A6569">
          <w:rPr>
            <w:webHidden/>
          </w:rPr>
          <w:instrText xml:space="preserve"> PAGEREF _Toc150870646 \h </w:instrText>
        </w:r>
        <w:r w:rsidR="003A6569">
          <w:rPr>
            <w:webHidden/>
          </w:rPr>
        </w:r>
        <w:r w:rsidR="003A6569">
          <w:rPr>
            <w:webHidden/>
          </w:rPr>
          <w:fldChar w:fldCharType="separate"/>
        </w:r>
        <w:r w:rsidR="000C4DFF">
          <w:rPr>
            <w:webHidden/>
          </w:rPr>
          <w:t>99</w:t>
        </w:r>
        <w:r w:rsidR="003A6569">
          <w:rPr>
            <w:webHidden/>
          </w:rPr>
          <w:fldChar w:fldCharType="end"/>
        </w:r>
      </w:hyperlink>
    </w:p>
    <w:p w14:paraId="5F6ABBC8" w14:textId="2F352E69" w:rsidR="00734BD6" w:rsidRPr="00734BD6" w:rsidRDefault="00171318" w:rsidP="00734BD6">
      <w:r>
        <w:fldChar w:fldCharType="end"/>
      </w:r>
    </w:p>
    <w:p w14:paraId="07CC24D6" w14:textId="7B82FD19" w:rsidR="00086B09" w:rsidRDefault="00086B09" w:rsidP="00EB5873">
      <w:pPr>
        <w:rPr>
          <w:lang w:val="en-US"/>
        </w:rPr>
        <w:sectPr w:rsidR="00086B09" w:rsidSect="00DB0FA2">
          <w:headerReference w:type="default" r:id="rId31"/>
          <w:footerReference w:type="default" r:id="rId32"/>
          <w:footerReference w:type="first" r:id="rId33"/>
          <w:pgSz w:w="11906" w:h="16838" w:code="9"/>
          <w:pgMar w:top="1418" w:right="1701" w:bottom="1134" w:left="1701" w:header="567" w:footer="748" w:gutter="0"/>
          <w:cols w:space="720"/>
          <w:docGrid w:linePitch="360"/>
        </w:sectPr>
      </w:pPr>
    </w:p>
    <w:p w14:paraId="537CB5DE" w14:textId="7CBB9546" w:rsidR="00DB457E" w:rsidRDefault="001044E0" w:rsidP="001C306D">
      <w:pPr>
        <w:pStyle w:val="Kop1"/>
        <w:numPr>
          <w:ilvl w:val="0"/>
          <w:numId w:val="0"/>
        </w:numPr>
        <w:spacing w:before="120"/>
        <w:ind w:left="431" w:hanging="431"/>
      </w:pPr>
      <w:bookmarkStart w:id="0" w:name="_Toc132703168"/>
      <w:bookmarkStart w:id="1" w:name="_Toc135839923"/>
      <w:bookmarkStart w:id="2" w:name="_Toc150870527"/>
      <w:r>
        <w:lastRenderedPageBreak/>
        <w:t>Inleiding</w:t>
      </w:r>
      <w:bookmarkEnd w:id="0"/>
      <w:bookmarkEnd w:id="1"/>
      <w:bookmarkEnd w:id="2"/>
    </w:p>
    <w:p w14:paraId="3E3D418D" w14:textId="15C7CD3E" w:rsidR="00EF0926" w:rsidRPr="00E33DD7" w:rsidRDefault="00FC3333" w:rsidP="000A323C">
      <w:pPr>
        <w:pStyle w:val="Kop4"/>
        <w:rPr>
          <w:lang w:val="nl-BE"/>
        </w:rPr>
      </w:pPr>
      <w:r w:rsidRPr="00E33DD7">
        <w:rPr>
          <w:lang w:val="nl-BE"/>
        </w:rPr>
        <w:t>Algemeen</w:t>
      </w:r>
    </w:p>
    <w:p w14:paraId="22584664" w14:textId="1E7C8688" w:rsidR="000A323C" w:rsidRDefault="000A323C" w:rsidP="000A323C">
      <w:pPr>
        <w:rPr>
          <w:lang w:val="nl-NL"/>
        </w:rPr>
      </w:pPr>
      <w:r>
        <w:rPr>
          <w:lang w:val="nl-NL"/>
        </w:rPr>
        <w:t>Op 14 februari 2018 werd de eerste editie van het charter “toegang van kmo’s tot overheidsopdrachten” gepubliceerd in het Belgisch Staatsblad en van kracht voor de federale aanbesteders. De inleiding van het charter begon als volgt: “</w:t>
      </w:r>
      <w:r w:rsidRPr="00B346F9">
        <w:rPr>
          <w:i/>
          <w:iCs/>
          <w:lang w:val="nl-NL"/>
        </w:rPr>
        <w:t>Kmo’s en overheidsopdrachten vormen vandaag de dag geen vanzelfsprekend huwelijk</w:t>
      </w:r>
      <w:r>
        <w:rPr>
          <w:lang w:val="nl-NL"/>
        </w:rPr>
        <w:t xml:space="preserve">.”. </w:t>
      </w:r>
      <w:r w:rsidR="001406B2">
        <w:rPr>
          <w:lang w:val="nl-NL"/>
        </w:rPr>
        <w:t>Bijna zes jaar later</w:t>
      </w:r>
      <w:r>
        <w:rPr>
          <w:lang w:val="nl-NL"/>
        </w:rPr>
        <w:t xml:space="preserve"> leert de praktijk ons dat die zin </w:t>
      </w:r>
      <w:r w:rsidR="006D0AB6">
        <w:rPr>
          <w:lang w:val="nl-NL"/>
        </w:rPr>
        <w:t>actueel</w:t>
      </w:r>
      <w:r>
        <w:rPr>
          <w:lang w:val="nl-NL"/>
        </w:rPr>
        <w:t xml:space="preserve"> blijft.</w:t>
      </w:r>
    </w:p>
    <w:p w14:paraId="2F911F87" w14:textId="1D59D6D0" w:rsidR="000A323C" w:rsidRDefault="000A323C" w:rsidP="000A323C">
      <w:pPr>
        <w:rPr>
          <w:lang w:val="nl-NL"/>
        </w:rPr>
      </w:pPr>
      <w:r>
        <w:rPr>
          <w:lang w:val="nl-NL"/>
        </w:rPr>
        <w:t>Aan de doelstelling van het charter ligt het alvast niet, namelijk dat o</w:t>
      </w:r>
      <w:r w:rsidRPr="00062699">
        <w:rPr>
          <w:lang w:val="nl-NL"/>
        </w:rPr>
        <w:t>verheidsopdrachten toegankelijk moeten zijn voor elke ondernemingsgrootte. Het charter wenst</w:t>
      </w:r>
      <w:r>
        <w:rPr>
          <w:lang w:val="nl-NL"/>
        </w:rPr>
        <w:t xml:space="preserve"> daarom</w:t>
      </w:r>
      <w:r w:rsidRPr="00062699">
        <w:rPr>
          <w:lang w:val="nl-NL"/>
        </w:rPr>
        <w:t xml:space="preserve"> bestaande onevenwichten recht te trekken en elke onderneming gelijke kansen te bieden zodat zij </w:t>
      </w:r>
      <w:r>
        <w:rPr>
          <w:lang w:val="nl-NL"/>
        </w:rPr>
        <w:t xml:space="preserve">op gelijkwaardige basis </w:t>
      </w:r>
      <w:r w:rsidR="00100F55">
        <w:rPr>
          <w:lang w:val="nl-NL"/>
        </w:rPr>
        <w:t>kunnen</w:t>
      </w:r>
      <w:r w:rsidRPr="00062699">
        <w:rPr>
          <w:lang w:val="nl-NL"/>
        </w:rPr>
        <w:t xml:space="preserve"> deelnemen aan overheidsopdrachten</w:t>
      </w:r>
      <w:r>
        <w:rPr>
          <w:lang w:val="nl-NL"/>
        </w:rPr>
        <w:t xml:space="preserve">. Die doelstelling </w:t>
      </w:r>
      <w:r w:rsidR="005806B8">
        <w:rPr>
          <w:lang w:val="nl-NL"/>
        </w:rPr>
        <w:t>is</w:t>
      </w:r>
      <w:r>
        <w:rPr>
          <w:lang w:val="nl-NL"/>
        </w:rPr>
        <w:t xml:space="preserve"> ook in deze tweede, vernieuwde versie van het charter het centrale, verbindende element. </w:t>
      </w:r>
    </w:p>
    <w:p w14:paraId="6D735688" w14:textId="0DC36FF2" w:rsidR="000A323C" w:rsidRDefault="000A323C" w:rsidP="000A323C">
      <w:pPr>
        <w:rPr>
          <w:lang w:val="nl-NL"/>
        </w:rPr>
      </w:pPr>
      <w:r>
        <w:rPr>
          <w:lang w:val="nl-NL"/>
        </w:rPr>
        <w:t xml:space="preserve">Wat wel veranderd is, is de context. Niet alleen figureert de toegang van kmo’s tot overheidsopdrachten duidelijk in het regeerakkoord, eveneens werd op de ministerraad van 19 november 2021 het federale gemeenschappelijke </w:t>
      </w:r>
      <w:hyperlink r:id="rId34" w:history="1">
        <w:r w:rsidRPr="00376198">
          <w:rPr>
            <w:rStyle w:val="Hyperlink"/>
            <w:lang w:val="nl-NL"/>
          </w:rPr>
          <w:t>actieplan</w:t>
        </w:r>
      </w:hyperlink>
      <w:r>
        <w:rPr>
          <w:lang w:val="nl-NL"/>
        </w:rPr>
        <w:t xml:space="preserve"> “toegang van kmo’s tot overheidsopdrachten bevorderen” goedgekeurd. </w:t>
      </w:r>
    </w:p>
    <w:p w14:paraId="7CCB8D19" w14:textId="77777777" w:rsidR="000A323C" w:rsidRPr="005820AA" w:rsidRDefault="000A323C" w:rsidP="000A323C">
      <w:pPr>
        <w:rPr>
          <w:lang w:val="nl-NL"/>
        </w:rPr>
      </w:pPr>
      <w:r>
        <w:rPr>
          <w:lang w:val="nl-NL"/>
        </w:rPr>
        <w:t>Dat</w:t>
      </w:r>
      <w:r w:rsidRPr="005820AA">
        <w:rPr>
          <w:lang w:val="nl-NL"/>
        </w:rPr>
        <w:t xml:space="preserve"> actieplan beoogt de relaties tussen de Belgische kmo’s en de aanbestedende overheden te verbeteren door te zorgen voor meer transparantie, een grotere soepelheid, een betere kennis van de regels en goede praktijken, en door meer vertrouwen tot stand te brengen tussen die potentiële partners.</w:t>
      </w:r>
      <w:r>
        <w:rPr>
          <w:lang w:val="nl-NL"/>
        </w:rPr>
        <w:t xml:space="preserve"> </w:t>
      </w:r>
      <w:r w:rsidRPr="005820AA">
        <w:rPr>
          <w:lang w:val="nl-NL"/>
        </w:rPr>
        <w:t>De acties die geïdentificeerd werden om dat te bereiken, hebben tot doel:</w:t>
      </w:r>
    </w:p>
    <w:p w14:paraId="27F0F54A" w14:textId="251AA735" w:rsidR="000A323C" w:rsidRPr="00E33DD7" w:rsidRDefault="000A323C">
      <w:pPr>
        <w:pStyle w:val="Bullet1"/>
        <w:rPr>
          <w:lang w:val="nl-BE"/>
        </w:rPr>
      </w:pPr>
      <w:r w:rsidRPr="00E33DD7">
        <w:rPr>
          <w:lang w:val="nl-BE"/>
        </w:rPr>
        <w:t xml:space="preserve">het efficiënter maken van overheidsopdrachten en dat zowel voor de opdrachtnemer als </w:t>
      </w:r>
      <w:r w:rsidR="00310A6F">
        <w:rPr>
          <w:lang w:val="nl-BE"/>
        </w:rPr>
        <w:t>opdracht</w:t>
      </w:r>
      <w:r w:rsidRPr="00E33DD7">
        <w:rPr>
          <w:lang w:val="nl-BE"/>
        </w:rPr>
        <w:t>gever;</w:t>
      </w:r>
    </w:p>
    <w:p w14:paraId="61FEDF70" w14:textId="3B728F7E" w:rsidR="000A323C" w:rsidRPr="00E33DD7" w:rsidRDefault="000A323C">
      <w:pPr>
        <w:pStyle w:val="Bullet1"/>
        <w:rPr>
          <w:lang w:val="nl-BE"/>
        </w:rPr>
      </w:pPr>
      <w:r w:rsidRPr="00E33DD7">
        <w:rPr>
          <w:lang w:val="nl-BE"/>
        </w:rPr>
        <w:t>meer transparantie in alle stadia van de aanbestedingsprocedure met het oog op betere informatie voor de economische operatoren en een gezondere mededinging;</w:t>
      </w:r>
    </w:p>
    <w:p w14:paraId="09CEB770" w14:textId="38638413" w:rsidR="000A323C" w:rsidRPr="00E33DD7" w:rsidRDefault="000A323C">
      <w:pPr>
        <w:pStyle w:val="Bullet1"/>
        <w:rPr>
          <w:lang w:val="nl-BE"/>
        </w:rPr>
      </w:pPr>
      <w:r w:rsidRPr="00E33DD7">
        <w:rPr>
          <w:lang w:val="nl-BE"/>
        </w:rPr>
        <w:t>een vereenvoudiging van de aanbestedingsprocedure vanuit het perspectief van de kmo’s;</w:t>
      </w:r>
      <w:r w:rsidR="00E33DD7" w:rsidRPr="00E33DD7">
        <w:rPr>
          <w:lang w:val="nl-BE"/>
        </w:rPr>
        <w:t xml:space="preserve"> </w:t>
      </w:r>
      <w:r w:rsidRPr="00E33DD7">
        <w:rPr>
          <w:lang w:val="nl-BE"/>
        </w:rPr>
        <w:t>en</w:t>
      </w:r>
    </w:p>
    <w:p w14:paraId="5A5FFECE" w14:textId="7F8C10EF" w:rsidR="000A323C" w:rsidRPr="00E33DD7" w:rsidRDefault="000A323C">
      <w:pPr>
        <w:pStyle w:val="Bullet1"/>
        <w:rPr>
          <w:lang w:val="nl-BE"/>
        </w:rPr>
      </w:pPr>
      <w:r w:rsidRPr="00E33DD7">
        <w:rPr>
          <w:lang w:val="nl-BE"/>
        </w:rPr>
        <w:t>zowel de aanbestedende overheden als de kmo’s op te leiden, te informeren en te begeleiden.</w:t>
      </w:r>
    </w:p>
    <w:p w14:paraId="2FBF0ABD" w14:textId="77777777" w:rsidR="000A323C" w:rsidRDefault="000A323C" w:rsidP="000A323C">
      <w:pPr>
        <w:rPr>
          <w:lang w:val="nl-NL"/>
        </w:rPr>
      </w:pPr>
      <w:r w:rsidRPr="005820AA">
        <w:rPr>
          <w:lang w:val="nl-NL"/>
        </w:rPr>
        <w:t>Die combinatie van acties zal op termijn leiden tot een federaal aankoopbeleid meer op maat van de kmo’s, tot overheidsopdrachten die toegankelijk zijn voor kmo’s, tot correct geïnformeerde en opgeleide aanbesteders en kmo’s, en tot een structurele en kwaliteitsvolle monitoring van de toegang van kmo’s tot overheidsopdrachten.</w:t>
      </w:r>
    </w:p>
    <w:p w14:paraId="4F0BCFB3" w14:textId="71C49FBC" w:rsidR="000A323C" w:rsidRDefault="000A323C" w:rsidP="000A323C">
      <w:pPr>
        <w:rPr>
          <w:lang w:val="nl-NL"/>
        </w:rPr>
      </w:pPr>
      <w:r>
        <w:rPr>
          <w:lang w:val="nl-NL"/>
        </w:rPr>
        <w:t xml:space="preserve">Een van de </w:t>
      </w:r>
      <w:r w:rsidR="00787CCA">
        <w:rPr>
          <w:lang w:val="nl-NL"/>
        </w:rPr>
        <w:t>vele</w:t>
      </w:r>
      <w:r>
        <w:rPr>
          <w:lang w:val="nl-NL"/>
        </w:rPr>
        <w:t xml:space="preserve"> acties van dat gemeenschappelijke actieplan vraagt om een evaluatie van het charter dat gepubliceerd werd op 14 februari 2018. Dat om na te gaan of het charter vandaag de dag nog up to date is en in welke mate de principes toegepast worden, effectief zijn en gemonitord worden.</w:t>
      </w:r>
    </w:p>
    <w:p w14:paraId="132BD41B" w14:textId="39D3225A" w:rsidR="000A323C" w:rsidRDefault="000A323C" w:rsidP="000A323C">
      <w:pPr>
        <w:rPr>
          <w:lang w:val="nl-NL"/>
        </w:rPr>
      </w:pPr>
      <w:r>
        <w:rPr>
          <w:lang w:val="nl-NL"/>
        </w:rPr>
        <w:t xml:space="preserve">Uit </w:t>
      </w:r>
      <w:r w:rsidR="0078088C">
        <w:rPr>
          <w:lang w:val="nl-NL"/>
        </w:rPr>
        <w:t xml:space="preserve">enerzijds </w:t>
      </w:r>
      <w:r>
        <w:rPr>
          <w:lang w:val="nl-NL"/>
        </w:rPr>
        <w:t>feedback van zowel de aanbesteders als vertegenwoordigers van de ondernemingswereld</w:t>
      </w:r>
      <w:r w:rsidR="003640E8">
        <w:rPr>
          <w:lang w:val="nl-NL"/>
        </w:rPr>
        <w:t>,</w:t>
      </w:r>
      <w:r>
        <w:rPr>
          <w:lang w:val="nl-NL"/>
        </w:rPr>
        <w:t xml:space="preserve"> en</w:t>
      </w:r>
      <w:r w:rsidR="003640E8">
        <w:rPr>
          <w:lang w:val="nl-NL"/>
        </w:rPr>
        <w:t xml:space="preserve"> anderzijds</w:t>
      </w:r>
      <w:r>
        <w:rPr>
          <w:lang w:val="nl-NL"/>
        </w:rPr>
        <w:t xml:space="preserve"> uit partiële cijfers over kmo-participatie bij overheidsopdrachten, zie principe 14 voor meer informatie over die cijfers, kwam immers meermaals naar voren dat het charter op een aantal vlakken voor verbetering vatbaar is. </w:t>
      </w:r>
    </w:p>
    <w:p w14:paraId="1374CDA1" w14:textId="77777777" w:rsidR="000A323C" w:rsidRDefault="000A323C" w:rsidP="000A323C">
      <w:r>
        <w:t>Voor die evaluatie van het charter schrijft het gemeenschappelijke actieplan, project 6 van as 2 (p. 25), volgende methodologie voor:</w:t>
      </w:r>
    </w:p>
    <w:p w14:paraId="03014759" w14:textId="77777777" w:rsidR="000A323C" w:rsidRPr="00A50DB2" w:rsidRDefault="000A323C" w:rsidP="000A323C">
      <w:pPr>
        <w:rPr>
          <w:i/>
          <w:iCs/>
        </w:rPr>
      </w:pPr>
      <w:r>
        <w:t>“</w:t>
      </w:r>
      <w:r w:rsidRPr="00A50DB2">
        <w:rPr>
          <w:i/>
          <w:iCs/>
        </w:rPr>
        <w:t>De minister van Zelfstandigen en Kmo’s zal advies vragen</w:t>
      </w:r>
      <w:r>
        <w:t xml:space="preserve"> [</w:t>
      </w:r>
      <w:r w:rsidRPr="00FF5EAD">
        <w:t>over het charter</w:t>
      </w:r>
      <w:r>
        <w:t>]</w:t>
      </w:r>
      <w:r w:rsidRPr="00A50DB2">
        <w:rPr>
          <w:i/>
          <w:iCs/>
        </w:rPr>
        <w:t xml:space="preserve"> aan de volgende organismen:</w:t>
      </w:r>
    </w:p>
    <w:p w14:paraId="631ADB1A" w14:textId="47BD0CBA" w:rsidR="000A323C" w:rsidRPr="00E33DD7" w:rsidRDefault="000A323C">
      <w:pPr>
        <w:pStyle w:val="Bullet1"/>
        <w:rPr>
          <w:i/>
          <w:iCs/>
          <w:lang w:val="nl-BE"/>
        </w:rPr>
      </w:pPr>
      <w:r w:rsidRPr="00E33DD7">
        <w:rPr>
          <w:i/>
          <w:iCs/>
          <w:lang w:val="nl-BE"/>
        </w:rPr>
        <w:t>de Commissie voor de Overheidsopdrachten (COO);</w:t>
      </w:r>
    </w:p>
    <w:p w14:paraId="18545003" w14:textId="6045F0AF" w:rsidR="000A323C" w:rsidRPr="00E33DD7" w:rsidRDefault="000A323C">
      <w:pPr>
        <w:pStyle w:val="Bullet1"/>
        <w:rPr>
          <w:i/>
          <w:iCs/>
          <w:lang w:val="nl-BE"/>
        </w:rPr>
      </w:pPr>
      <w:r w:rsidRPr="00E33DD7">
        <w:rPr>
          <w:i/>
          <w:iCs/>
          <w:lang w:val="nl-BE"/>
        </w:rPr>
        <w:t>de Hoge Raad voor de Zelfstandigen en de KMO (HRZKMO);</w:t>
      </w:r>
    </w:p>
    <w:p w14:paraId="758E4C38" w14:textId="77777777" w:rsidR="000A323C" w:rsidRPr="00E33DD7" w:rsidRDefault="000A323C">
      <w:pPr>
        <w:pStyle w:val="Bullet1"/>
        <w:rPr>
          <w:i/>
          <w:iCs/>
          <w:lang w:val="nl-BE"/>
        </w:rPr>
      </w:pPr>
      <w:r w:rsidRPr="00E33DD7">
        <w:rPr>
          <w:i/>
          <w:iCs/>
          <w:lang w:val="nl-BE"/>
        </w:rPr>
        <w:t>het Strategisch Federaal Aankoopoverleg (SFA).</w:t>
      </w:r>
    </w:p>
    <w:p w14:paraId="6F0EE4F8" w14:textId="77777777" w:rsidR="000A323C" w:rsidRPr="00FF5EAD" w:rsidRDefault="000A323C" w:rsidP="000A323C">
      <w:r w:rsidRPr="00A50DB2">
        <w:rPr>
          <w:i/>
          <w:iCs/>
        </w:rPr>
        <w:t>Op die basis stelt de FOD Economie, in overleg met de FOD BOSA en de FOD Kanselarij, een evaluatieverslag en eventuele aanpassingsaanbevelingen op. De reeds uitgevoerde evaluatie van de wet op de overheidsopdrachten en zijn uitvoeringsbesluiten zal in aanmerking genomen worden.</w:t>
      </w:r>
      <w:r>
        <w:t>”</w:t>
      </w:r>
    </w:p>
    <w:p w14:paraId="2972FC33" w14:textId="78B7BDF0" w:rsidR="000A323C" w:rsidRDefault="000A323C" w:rsidP="000A323C">
      <w:r>
        <w:lastRenderedPageBreak/>
        <w:t xml:space="preserve">In een eerste fase werden de drie hoger vermelde adviezen opgevraagd en bekomen, aangevuld met een vrijwillig advies van de Federale Politie en andere, reeds bestaande (praktijk)kennis bij de betrokken administraties </w:t>
      </w:r>
      <w:r w:rsidR="007A58AD">
        <w:t xml:space="preserve">– met name de </w:t>
      </w:r>
      <w:r>
        <w:t xml:space="preserve">FOD BOSA, </w:t>
      </w:r>
      <w:r w:rsidR="007A58AD">
        <w:t xml:space="preserve">de </w:t>
      </w:r>
      <w:r>
        <w:t xml:space="preserve">FOD Economie en </w:t>
      </w:r>
      <w:r w:rsidR="007A58AD">
        <w:t xml:space="preserve">de </w:t>
      </w:r>
      <w:r>
        <w:t xml:space="preserve">FOD Kanselarij. </w:t>
      </w:r>
    </w:p>
    <w:p w14:paraId="3B41FEFA" w14:textId="77777777" w:rsidR="000A323C" w:rsidRPr="001F6480" w:rsidRDefault="000A323C" w:rsidP="000A323C">
      <w:r>
        <w:t>In een tweede fase werd de ontvangen feedback verwerkt, geanalyseerd en besproken door de drie betrokken administraties. Daarna werd telkens per principe een besluit of voorstel opgesteld waarin de drie betrokken administraties aangaven wat zij, op basis van de ontvangen feedback en hun inzichten, voorstellen aan het politieke niveau om al dan niet aan te passen aan het toenmalige charter.</w:t>
      </w:r>
      <w:r w:rsidRPr="001F6480">
        <w:t xml:space="preserve"> </w:t>
      </w:r>
    </w:p>
    <w:p w14:paraId="6DDF9D7A" w14:textId="6ADA9825" w:rsidR="000A323C" w:rsidRDefault="000A323C" w:rsidP="000A323C">
      <w:r>
        <w:t xml:space="preserve">Het resultaat van de tweede fase werd bezorgd aan </w:t>
      </w:r>
      <w:r w:rsidR="00BC6BD3">
        <w:t>ministers</w:t>
      </w:r>
      <w:r>
        <w:t xml:space="preserve"> Clarinval, De Croo en De Sutter met als doelstelling de voorstellen van de betrokken administraties te bespreken en</w:t>
      </w:r>
      <w:r w:rsidR="009C6F53">
        <w:t xml:space="preserve"> die</w:t>
      </w:r>
      <w:r>
        <w:t xml:space="preserve"> al dan niet te valideren en/of aan te vullen waar nodig. </w:t>
      </w:r>
      <w:r w:rsidR="00243337">
        <w:t>Op die manier</w:t>
      </w:r>
      <w:r>
        <w:t xml:space="preserve"> werd per principe besloten, na overleg met het politieke niveau, wat er gewijzigd zou worden aan het charter en op welke manier. </w:t>
      </w:r>
    </w:p>
    <w:p w14:paraId="7A2F91A7" w14:textId="296DE8BF" w:rsidR="000A323C" w:rsidRDefault="000A323C" w:rsidP="000A323C">
      <w:r>
        <w:t xml:space="preserve">Tot slot was de FOD Economie, in overleg met de FOD BOSA en de FOD Kanselarij, verantwoordelijk voor de eigenlijke update van het charter waarvan dit document, na </w:t>
      </w:r>
      <w:r w:rsidR="00881F62">
        <w:t xml:space="preserve">een tweede </w:t>
      </w:r>
      <w:r>
        <w:t xml:space="preserve">passage bij de </w:t>
      </w:r>
      <w:r w:rsidR="00911E36">
        <w:t>COO</w:t>
      </w:r>
      <w:r>
        <w:t xml:space="preserve"> en de HRZKMO voor advies, het finale resultaat is</w:t>
      </w:r>
      <w:r w:rsidR="00A71966">
        <w:t>.</w:t>
      </w:r>
    </w:p>
    <w:p w14:paraId="303B4F7E" w14:textId="14D813B0" w:rsidR="00A71966" w:rsidRDefault="0091067B" w:rsidP="0091067B">
      <w:pPr>
        <w:pStyle w:val="Kop4"/>
        <w:rPr>
          <w:lang w:val="nl-BE"/>
        </w:rPr>
      </w:pPr>
      <w:r w:rsidRPr="0091067B">
        <w:rPr>
          <w:lang w:val="nl-BE"/>
        </w:rPr>
        <w:t>Toepassingsgebied charter</w:t>
      </w:r>
    </w:p>
    <w:p w14:paraId="505C8C9D" w14:textId="77777777" w:rsidR="008A2432" w:rsidRDefault="008A2432" w:rsidP="008A2432">
      <w:pPr>
        <w:rPr>
          <w:lang w:val="nl-NL"/>
        </w:rPr>
      </w:pPr>
      <w:r>
        <w:rPr>
          <w:lang w:val="nl-NL"/>
        </w:rPr>
        <w:t>O</w:t>
      </w:r>
      <w:r w:rsidRPr="000E2ED8">
        <w:rPr>
          <w:lang w:val="nl-NL"/>
        </w:rPr>
        <w:t xml:space="preserve">m de toegang van kmo’s – </w:t>
      </w:r>
      <w:r>
        <w:rPr>
          <w:lang w:val="nl-NL"/>
        </w:rPr>
        <w:t>en voornamelijk de micro- (tot 10 werknemers) en de kleine (tot 50 werknemers) ondernemingen</w:t>
      </w:r>
      <w:r w:rsidRPr="000E2ED8">
        <w:rPr>
          <w:lang w:val="nl-NL"/>
        </w:rPr>
        <w:t xml:space="preserve"> – tot overheidsopdrachten te vergroten, presente</w:t>
      </w:r>
      <w:r>
        <w:rPr>
          <w:lang w:val="nl-NL"/>
        </w:rPr>
        <w:t>ren</w:t>
      </w:r>
      <w:r w:rsidRPr="000E2ED8">
        <w:rPr>
          <w:lang w:val="nl-NL"/>
        </w:rPr>
        <w:t xml:space="preserve"> de federale overheid</w:t>
      </w:r>
      <w:r>
        <w:rPr>
          <w:lang w:val="nl-NL"/>
        </w:rPr>
        <w:t xml:space="preserve"> en de FOD Economie</w:t>
      </w:r>
      <w:r w:rsidRPr="000E2ED8">
        <w:rPr>
          <w:lang w:val="nl-NL"/>
        </w:rPr>
        <w:t xml:space="preserve"> </w:t>
      </w:r>
      <w:r>
        <w:rPr>
          <w:lang w:val="nl-NL"/>
        </w:rPr>
        <w:t>dus een update van dit</w:t>
      </w:r>
      <w:r w:rsidRPr="000E2ED8">
        <w:rPr>
          <w:lang w:val="nl-NL"/>
        </w:rPr>
        <w:t xml:space="preserve"> charter bestaande uit 1</w:t>
      </w:r>
      <w:r>
        <w:rPr>
          <w:lang w:val="nl-NL"/>
        </w:rPr>
        <w:t>4</w:t>
      </w:r>
      <w:r w:rsidRPr="000E2ED8">
        <w:rPr>
          <w:lang w:val="nl-NL"/>
        </w:rPr>
        <w:t xml:space="preserve"> principes. De centrale doelstelling van </w:t>
      </w:r>
      <w:r>
        <w:rPr>
          <w:lang w:val="nl-NL"/>
        </w:rPr>
        <w:t>het</w:t>
      </w:r>
      <w:r w:rsidRPr="000E2ED8">
        <w:rPr>
          <w:lang w:val="nl-NL"/>
        </w:rPr>
        <w:t xml:space="preserve"> charter is</w:t>
      </w:r>
      <w:r>
        <w:rPr>
          <w:lang w:val="nl-NL"/>
        </w:rPr>
        <w:t xml:space="preserve"> nog steeds</w:t>
      </w:r>
      <w:r w:rsidRPr="000E2ED8">
        <w:rPr>
          <w:lang w:val="nl-NL"/>
        </w:rPr>
        <w:t xml:space="preserve"> het aantal kmo’s dat participeert aan overheidsopdrachten te stimuleren. </w:t>
      </w:r>
    </w:p>
    <w:p w14:paraId="6871C7DB" w14:textId="2380FAA4" w:rsidR="006F2402" w:rsidRPr="005540D1" w:rsidRDefault="008A2432" w:rsidP="008A2432">
      <w:pPr>
        <w:rPr>
          <w:color w:val="0070C0"/>
          <w:lang w:val="nl-NL"/>
        </w:rPr>
      </w:pPr>
      <w:r w:rsidRPr="000E2ED8">
        <w:rPr>
          <w:lang w:val="nl-NL"/>
        </w:rPr>
        <w:t xml:space="preserve">Het doelpubliek bestaat in eerste instantie uit de federale aanbestedende overheden, meer specifiek de federale aanbestedende overheden </w:t>
      </w:r>
      <w:r w:rsidR="00ED7E33">
        <w:rPr>
          <w:lang w:val="nl-NL"/>
        </w:rPr>
        <w:t>zo</w:t>
      </w:r>
      <w:r w:rsidRPr="000E2ED8">
        <w:rPr>
          <w:lang w:val="nl-NL"/>
        </w:rPr>
        <w:t xml:space="preserve">als bedoeld in artikel 1, 6°, van het koninklijk besluit van </w:t>
      </w:r>
      <w:hyperlink r:id="rId35" w:history="1">
        <w:r w:rsidRPr="006D0F9C">
          <w:rPr>
            <w:rStyle w:val="Hyperlink"/>
            <w:lang w:val="nl-NL"/>
          </w:rPr>
          <w:t>3 april 2013</w:t>
        </w:r>
      </w:hyperlink>
      <w:r w:rsidRPr="000E2ED8">
        <w:rPr>
          <w:lang w:val="nl-NL"/>
        </w:rPr>
        <w:t xml:space="preserve"> </w:t>
      </w:r>
      <w:r w:rsidR="00085C37" w:rsidRPr="00085C37">
        <w:rPr>
          <w:lang w:val="nl-NL"/>
        </w:rPr>
        <w:t>betreffende de tussenkomst van de Ministerraad, de overdracht van bevoegdheid en de machtigingen inzake de plaatsing en de uitvoering van overheidsopdrachten, prijsvragen en concessies op federaal niveau</w:t>
      </w:r>
      <w:r w:rsidRPr="000E2ED8">
        <w:rPr>
          <w:lang w:val="nl-NL"/>
        </w:rPr>
        <w:t>.</w:t>
      </w:r>
      <w:r w:rsidR="00AC3728">
        <w:rPr>
          <w:lang w:val="nl-NL"/>
        </w:rPr>
        <w:t xml:space="preserve"> Het charter is eveneens van toepassing op de </w:t>
      </w:r>
      <w:r w:rsidR="002140C3">
        <w:rPr>
          <w:lang w:val="nl-NL"/>
        </w:rPr>
        <w:t>f</w:t>
      </w:r>
      <w:r w:rsidR="00AC3728">
        <w:rPr>
          <w:lang w:val="nl-NL"/>
        </w:rPr>
        <w:t xml:space="preserve">ederale </w:t>
      </w:r>
      <w:r w:rsidR="002140C3">
        <w:rPr>
          <w:lang w:val="nl-NL"/>
        </w:rPr>
        <w:t>p</w:t>
      </w:r>
      <w:r w:rsidR="00AC3728">
        <w:rPr>
          <w:lang w:val="nl-NL"/>
        </w:rPr>
        <w:t>olitie en</w:t>
      </w:r>
      <w:r w:rsidR="00D976C8">
        <w:rPr>
          <w:lang w:val="nl-NL"/>
        </w:rPr>
        <w:t xml:space="preserve">, in het kader van het </w:t>
      </w:r>
      <w:hyperlink r:id="rId36" w:history="1">
        <w:r w:rsidR="00D976C8" w:rsidRPr="008165C3">
          <w:rPr>
            <w:rStyle w:val="Hyperlink"/>
            <w:lang w:val="nl-NL"/>
          </w:rPr>
          <w:t>federale aankoopbeleid</w:t>
        </w:r>
      </w:hyperlink>
      <w:r w:rsidR="00D4335B">
        <w:rPr>
          <w:lang w:val="nl-NL"/>
        </w:rPr>
        <w:t xml:space="preserve"> (zie verder)</w:t>
      </w:r>
      <w:r w:rsidR="00D976C8">
        <w:rPr>
          <w:lang w:val="nl-NL"/>
        </w:rPr>
        <w:t>,</w:t>
      </w:r>
      <w:r w:rsidR="00AC3728">
        <w:rPr>
          <w:lang w:val="nl-NL"/>
        </w:rPr>
        <w:t xml:space="preserve"> </w:t>
      </w:r>
      <w:r w:rsidR="00D976C8" w:rsidRPr="00D976C8">
        <w:rPr>
          <w:lang w:val="nl-NL"/>
        </w:rPr>
        <w:t>het netwerk van strategisch federaal aankoopoverleg (SFA)</w:t>
      </w:r>
      <w:r w:rsidR="00D976C8">
        <w:rPr>
          <w:lang w:val="nl-NL"/>
        </w:rPr>
        <w:t xml:space="preserve"> en</w:t>
      </w:r>
      <w:r w:rsidR="00D976C8" w:rsidRPr="00D976C8">
        <w:rPr>
          <w:lang w:val="nl-NL"/>
        </w:rPr>
        <w:t xml:space="preserve"> het netwerk van tactisch-operationeel aankoopoverleg (TOFA)</w:t>
      </w:r>
      <w:r w:rsidR="003F5755">
        <w:rPr>
          <w:lang w:val="nl-NL"/>
        </w:rPr>
        <w:t>.</w:t>
      </w:r>
      <w:r w:rsidRPr="000E2ED8">
        <w:rPr>
          <w:lang w:val="nl-NL"/>
        </w:rPr>
        <w:t xml:space="preserve"> </w:t>
      </w:r>
      <w:r w:rsidRPr="005540D1">
        <w:rPr>
          <w:b/>
          <w:bCs/>
          <w:color w:val="0070C0"/>
          <w:lang w:val="nl-NL"/>
        </w:rPr>
        <w:t>Voor die federale aanbesteders is het charter</w:t>
      </w:r>
      <w:r w:rsidR="00216D67" w:rsidRPr="005540D1">
        <w:rPr>
          <w:b/>
          <w:bCs/>
          <w:color w:val="0070C0"/>
          <w:lang w:val="nl-NL"/>
        </w:rPr>
        <w:t xml:space="preserve">, </w:t>
      </w:r>
      <w:r w:rsidR="008D1B4F" w:rsidRPr="005540D1">
        <w:rPr>
          <w:b/>
          <w:bCs/>
          <w:color w:val="0070C0"/>
          <w:lang w:val="nl-NL"/>
        </w:rPr>
        <w:t>met zijn</w:t>
      </w:r>
      <w:r w:rsidRPr="005540D1">
        <w:rPr>
          <w:b/>
          <w:bCs/>
          <w:color w:val="0070C0"/>
          <w:lang w:val="nl-NL"/>
        </w:rPr>
        <w:t xml:space="preserve"> </w:t>
      </w:r>
      <w:r w:rsidR="001B4544" w:rsidRPr="005540D1">
        <w:rPr>
          <w:b/>
          <w:bCs/>
          <w:color w:val="0070C0"/>
          <w:lang w:val="nl-NL"/>
        </w:rPr>
        <w:t>richtlijnen</w:t>
      </w:r>
      <w:r w:rsidR="00216D67" w:rsidRPr="005540D1">
        <w:rPr>
          <w:b/>
          <w:bCs/>
          <w:color w:val="0070C0"/>
          <w:lang w:val="nl-NL"/>
        </w:rPr>
        <w:t xml:space="preserve"> en instructies,</w:t>
      </w:r>
      <w:r w:rsidRPr="005540D1">
        <w:rPr>
          <w:b/>
          <w:bCs/>
          <w:color w:val="0070C0"/>
          <w:lang w:val="nl-NL"/>
        </w:rPr>
        <w:t xml:space="preserve"> dus verplicht toe te passen</w:t>
      </w:r>
      <w:r w:rsidRPr="0041285C">
        <w:rPr>
          <w:b/>
          <w:bCs/>
          <w:color w:val="0070C0"/>
          <w:lang w:val="nl-NL"/>
        </w:rPr>
        <w:t>.</w:t>
      </w:r>
      <w:r w:rsidRPr="005540D1">
        <w:rPr>
          <w:color w:val="0070C0"/>
          <w:lang w:val="nl-NL"/>
        </w:rPr>
        <w:t xml:space="preserve"> </w:t>
      </w:r>
    </w:p>
    <w:p w14:paraId="098B3802" w14:textId="6C5882C6" w:rsidR="008A2432" w:rsidRPr="000E2ED8" w:rsidRDefault="008A2432" w:rsidP="008A2432">
      <w:pPr>
        <w:rPr>
          <w:lang w:val="nl-NL"/>
        </w:rPr>
      </w:pPr>
      <w:r w:rsidRPr="000E2ED8">
        <w:rPr>
          <w:lang w:val="nl-NL"/>
        </w:rPr>
        <w:t xml:space="preserve">Het charter is </w:t>
      </w:r>
      <w:r>
        <w:rPr>
          <w:lang w:val="nl-NL"/>
        </w:rPr>
        <w:t xml:space="preserve">daarnaast </w:t>
      </w:r>
      <w:r w:rsidRPr="000E2ED8">
        <w:rPr>
          <w:lang w:val="nl-NL"/>
        </w:rPr>
        <w:t xml:space="preserve">van toepassing op de overheidsopdrachten die </w:t>
      </w:r>
      <w:r w:rsidR="00E678AE" w:rsidRPr="000E2ED8">
        <w:rPr>
          <w:lang w:val="nl-NL"/>
        </w:rPr>
        <w:t xml:space="preserve">vallen </w:t>
      </w:r>
      <w:r w:rsidRPr="000E2ED8">
        <w:rPr>
          <w:lang w:val="nl-NL"/>
        </w:rPr>
        <w:t xml:space="preserve">onder het toepassingsgebied van titel 2 van de wet van </w:t>
      </w:r>
      <w:hyperlink r:id="rId37" w:history="1">
        <w:r w:rsidRPr="00061D3F">
          <w:rPr>
            <w:rStyle w:val="Hyperlink"/>
            <w:lang w:val="nl-NL"/>
          </w:rPr>
          <w:t>17 juni 2016</w:t>
        </w:r>
      </w:hyperlink>
      <w:r w:rsidRPr="000E2ED8">
        <w:rPr>
          <w:lang w:val="nl-NL"/>
        </w:rPr>
        <w:t xml:space="preserve"> inzake overheidsopdrachten</w:t>
      </w:r>
      <w:r>
        <w:rPr>
          <w:lang w:val="nl-NL"/>
        </w:rPr>
        <w:t>, met name de “klassieke sectoren”</w:t>
      </w:r>
      <w:r w:rsidRPr="000E2ED8">
        <w:rPr>
          <w:lang w:val="nl-NL"/>
        </w:rPr>
        <w:t>.</w:t>
      </w:r>
      <w:r>
        <w:rPr>
          <w:lang w:val="nl-NL"/>
        </w:rPr>
        <w:t xml:space="preserve"> Wat de “speciale sectoren” betreft, titel 3 van de voornoemde wet, worden de aanbesteders verzocht om het charter in de mate van het mogelijke </w:t>
      </w:r>
      <w:r w:rsidR="00D1731E">
        <w:rPr>
          <w:lang w:val="nl-NL"/>
        </w:rPr>
        <w:t>over te nemen</w:t>
      </w:r>
      <w:r>
        <w:rPr>
          <w:lang w:val="nl-NL"/>
        </w:rPr>
        <w:t xml:space="preserve">. </w:t>
      </w:r>
    </w:p>
    <w:p w14:paraId="5510CEB7" w14:textId="0663A18C" w:rsidR="0091067B" w:rsidRDefault="008A2432" w:rsidP="008A2432">
      <w:pPr>
        <w:rPr>
          <w:lang w:val="nl-NL"/>
        </w:rPr>
      </w:pPr>
      <w:r w:rsidRPr="000E2ED8">
        <w:rPr>
          <w:lang w:val="nl-NL"/>
        </w:rPr>
        <w:t>Dit charter kan worden beschouwd als een opstap waarbij in eerste instantie de focus ligt op het federale niveau. In een volgende fase zal de federale overheid stappen ondernemen om het toepassingsgebied van het charter uit te breiden via partnerschappen met de overige Belgische overheidsniveaus. Het charter kan worden overgenomen door alle aanbestedende overheden van het Rijk, zoals bepaald in artikel 2, 1°, van de wet van 17 juni 2016</w:t>
      </w:r>
      <w:r>
        <w:rPr>
          <w:lang w:val="nl-NL"/>
        </w:rPr>
        <w:t>.</w:t>
      </w:r>
    </w:p>
    <w:p w14:paraId="031A2DBB" w14:textId="33CCF40F" w:rsidR="00216D67" w:rsidRPr="00762D00" w:rsidRDefault="001210D8" w:rsidP="001210D8">
      <w:pPr>
        <w:pStyle w:val="Kop4"/>
        <w:rPr>
          <w:lang w:val="nl-BE"/>
        </w:rPr>
      </w:pPr>
      <w:r w:rsidRPr="0056222B">
        <w:rPr>
          <w:lang w:val="nl-BE"/>
        </w:rPr>
        <w:t>Inhoudelijke</w:t>
      </w:r>
      <w:r w:rsidRPr="00762D00">
        <w:rPr>
          <w:lang w:val="nl-BE"/>
        </w:rPr>
        <w:t xml:space="preserve"> </w:t>
      </w:r>
      <w:r w:rsidRPr="0056222B">
        <w:rPr>
          <w:lang w:val="nl-BE"/>
        </w:rPr>
        <w:t>aanvullingen</w:t>
      </w:r>
      <w:r w:rsidRPr="00762D00">
        <w:rPr>
          <w:lang w:val="nl-BE"/>
        </w:rPr>
        <w:t xml:space="preserve"> en bijlagen</w:t>
      </w:r>
    </w:p>
    <w:p w14:paraId="55EC6F43" w14:textId="40DCF137" w:rsidR="0056222B" w:rsidRDefault="0056222B" w:rsidP="0056222B">
      <w:pPr>
        <w:rPr>
          <w:lang w:val="nl-NL"/>
        </w:rPr>
      </w:pPr>
      <w:r>
        <w:rPr>
          <w:lang w:val="nl-NL"/>
        </w:rPr>
        <w:t>Bovendien</w:t>
      </w:r>
      <w:r w:rsidRPr="000E2ED8">
        <w:rPr>
          <w:lang w:val="nl-NL"/>
        </w:rPr>
        <w:t xml:space="preserve"> zal een </w:t>
      </w:r>
      <w:r w:rsidR="001315F9">
        <w:rPr>
          <w:lang w:val="nl-NL"/>
        </w:rPr>
        <w:t>“</w:t>
      </w:r>
      <w:r>
        <w:rPr>
          <w:lang w:val="nl-NL"/>
        </w:rPr>
        <w:t>praktische verfijning</w:t>
      </w:r>
      <w:r w:rsidR="001315F9">
        <w:rPr>
          <w:lang w:val="nl-NL"/>
        </w:rPr>
        <w:t>”</w:t>
      </w:r>
      <w:r w:rsidRPr="000E2ED8">
        <w:rPr>
          <w:lang w:val="nl-NL"/>
        </w:rPr>
        <w:t xml:space="preserve"> van het charter plaatsvinden </w:t>
      </w:r>
      <w:r>
        <w:rPr>
          <w:lang w:val="nl-NL"/>
        </w:rPr>
        <w:t xml:space="preserve">in de vorm van </w:t>
      </w:r>
      <w:r w:rsidR="007E3BC4">
        <w:rPr>
          <w:lang w:val="nl-NL"/>
        </w:rPr>
        <w:t>typeclausule</w:t>
      </w:r>
      <w:r w:rsidR="00665B78">
        <w:rPr>
          <w:lang w:val="nl-NL"/>
        </w:rPr>
        <w:t>s</w:t>
      </w:r>
      <w:r>
        <w:rPr>
          <w:lang w:val="nl-NL"/>
        </w:rPr>
        <w:t xml:space="preserve">. Die </w:t>
      </w:r>
      <w:r w:rsidR="00665B78">
        <w:rPr>
          <w:lang w:val="nl-NL"/>
        </w:rPr>
        <w:t>typeclausules</w:t>
      </w:r>
      <w:r>
        <w:rPr>
          <w:lang w:val="nl-NL"/>
        </w:rPr>
        <w:t xml:space="preserve"> vinden hun oorsprong in een ander project van het gemeenschappelijke actieplan, namelijk project 12 getiteld “</w:t>
      </w:r>
      <w:r w:rsidRPr="0025273A">
        <w:rPr>
          <w:i/>
          <w:iCs/>
          <w:lang w:val="nl-NL"/>
        </w:rPr>
        <w:t>Typeclausules op maat van de kmo’s</w:t>
      </w:r>
      <w:r>
        <w:rPr>
          <w:lang w:val="nl-NL"/>
        </w:rPr>
        <w:t>”. Die typeclausules zullen op hun beurt de vorm aannemen van scenario’s waarbij de aanbesteder voor een bepaald thema meerdere scenario’s wordt aangeboden. In een scenario worden de opties geschetst waarover een aanbesteder beschikt binnen het regelgevend</w:t>
      </w:r>
      <w:r w:rsidR="00685D05">
        <w:rPr>
          <w:lang w:val="nl-NL"/>
        </w:rPr>
        <w:t>e</w:t>
      </w:r>
      <w:r>
        <w:rPr>
          <w:lang w:val="nl-NL"/>
        </w:rPr>
        <w:t xml:space="preserve"> kader voor dat specifieke thema.</w:t>
      </w:r>
    </w:p>
    <w:p w14:paraId="6A754DCE" w14:textId="77777777" w:rsidR="0056222B" w:rsidRDefault="0056222B" w:rsidP="0056222B">
      <w:pPr>
        <w:rPr>
          <w:lang w:val="nl-NL"/>
        </w:rPr>
      </w:pPr>
      <w:r>
        <w:rPr>
          <w:lang w:val="nl-NL"/>
        </w:rPr>
        <w:t>Concreet gaat het om, vanuit de invalshoek “toegang van kmo’s”, een maximaal scenario (= de voor kmo’s meest optimale toepassing van de opties aangeboden door de reglementering overheidsopdrachten), een minimaal scenario en een “te vermijden” scenario. Dat om de aanbesteder meer praktische handvaten aan te bieden bij de toepassing van de wetgeving overheidsopdrachten.</w:t>
      </w:r>
    </w:p>
    <w:p w14:paraId="4FDB20A1" w14:textId="451FDE64" w:rsidR="001210D8" w:rsidRDefault="0056222B" w:rsidP="0056222B">
      <w:pPr>
        <w:rPr>
          <w:lang w:val="nl-NL"/>
        </w:rPr>
      </w:pPr>
      <w:r>
        <w:rPr>
          <w:lang w:val="nl-NL"/>
        </w:rPr>
        <w:lastRenderedPageBreak/>
        <w:t xml:space="preserve">Die scenario’s worden vandaag nog deels uitgewerkt door de bevoegde werkgroep bestaande uit zowel aanbesteders als vertegenwoordigers van de ondernemingswereld, met als doelstelling om die scenario’s </w:t>
      </w:r>
      <w:r w:rsidR="00A84CAD">
        <w:rPr>
          <w:lang w:val="nl-NL"/>
        </w:rPr>
        <w:t xml:space="preserve">in de loop van </w:t>
      </w:r>
      <w:r>
        <w:rPr>
          <w:lang w:val="nl-NL"/>
        </w:rPr>
        <w:t>2024 toe te voegen aan het charter als officiële bijlagen</w:t>
      </w:r>
      <w:r w:rsidR="00762D00">
        <w:rPr>
          <w:lang w:val="nl-NL"/>
        </w:rPr>
        <w:t>.</w:t>
      </w:r>
    </w:p>
    <w:p w14:paraId="1E0218F2" w14:textId="05C759FA" w:rsidR="0074031C" w:rsidRPr="009E5923" w:rsidRDefault="004869C7" w:rsidP="009E5923">
      <w:pPr>
        <w:pStyle w:val="Kop4"/>
        <w:rPr>
          <w:lang w:val="nl-BE"/>
        </w:rPr>
      </w:pPr>
      <w:r w:rsidRPr="007E653C">
        <w:rPr>
          <w:lang w:val="nl-BE"/>
        </w:rPr>
        <w:t>H</w:t>
      </w:r>
      <w:r w:rsidR="00782B50" w:rsidRPr="007E653C">
        <w:rPr>
          <w:lang w:val="nl-BE"/>
        </w:rPr>
        <w:t>et federale aankoopbeleid</w:t>
      </w:r>
      <w:r w:rsidR="00EF3032" w:rsidRPr="007E653C">
        <w:rPr>
          <w:lang w:val="nl-BE"/>
        </w:rPr>
        <w:t xml:space="preserve"> </w:t>
      </w:r>
      <w:r w:rsidR="007C1AC6" w:rsidRPr="007E653C">
        <w:rPr>
          <w:lang w:val="nl-BE"/>
        </w:rPr>
        <w:t>en</w:t>
      </w:r>
      <w:r w:rsidR="00EF3032" w:rsidRPr="007E653C">
        <w:rPr>
          <w:lang w:val="nl-BE"/>
        </w:rPr>
        <w:t xml:space="preserve"> het charter</w:t>
      </w:r>
    </w:p>
    <w:p w14:paraId="2B930EDD" w14:textId="000E7941" w:rsidR="005F33E9" w:rsidRDefault="005F33E9" w:rsidP="0056222B">
      <w:pPr>
        <w:rPr>
          <w:lang w:val="nl-NL"/>
        </w:rPr>
      </w:pPr>
      <w:r>
        <w:rPr>
          <w:lang w:val="nl-NL"/>
        </w:rPr>
        <w:t xml:space="preserve">Op 12 september 2023 verscheen in het Belgisch Staatsblad het </w:t>
      </w:r>
      <w:r w:rsidRPr="005F33E9">
        <w:rPr>
          <w:lang w:val="nl-NL"/>
        </w:rPr>
        <w:t xml:space="preserve">koninklijk besluit van </w:t>
      </w:r>
      <w:hyperlink r:id="rId38" w:history="1">
        <w:r w:rsidRPr="00B10736">
          <w:rPr>
            <w:rStyle w:val="Hyperlink"/>
            <w:lang w:val="nl-NL"/>
          </w:rPr>
          <w:t>21 juli 2023</w:t>
        </w:r>
      </w:hyperlink>
      <w:r w:rsidRPr="005F33E9">
        <w:rPr>
          <w:lang w:val="nl-NL"/>
        </w:rPr>
        <w:t xml:space="preserve"> inzake de federaal gecentraliseerde overheidsopdrachten in het kader van het federaal aankoopbeleid</w:t>
      </w:r>
      <w:r w:rsidR="008F4BD0">
        <w:rPr>
          <w:lang w:val="nl-NL"/>
        </w:rPr>
        <w:t>,</w:t>
      </w:r>
      <w:r w:rsidR="004869C7">
        <w:rPr>
          <w:lang w:val="nl-NL"/>
        </w:rPr>
        <w:t xml:space="preserve"> ter vervanging van het koninklijk besluit van 22 december 2017</w:t>
      </w:r>
      <w:r w:rsidR="00EF3032">
        <w:rPr>
          <w:lang w:val="nl-NL"/>
        </w:rPr>
        <w:t xml:space="preserve">. </w:t>
      </w:r>
    </w:p>
    <w:p w14:paraId="6F8F92C9" w14:textId="613D7539" w:rsidR="00782B50" w:rsidRDefault="005A2FEE" w:rsidP="0056222B">
      <w:pPr>
        <w:rPr>
          <w:lang w:val="nl-NL"/>
        </w:rPr>
      </w:pPr>
      <w:r w:rsidRPr="0054148A">
        <w:rPr>
          <w:b/>
          <w:bCs/>
          <w:lang w:val="nl-NL"/>
        </w:rPr>
        <w:t xml:space="preserve">Over de relatie </w:t>
      </w:r>
      <w:r w:rsidR="00D328F9" w:rsidRPr="0054148A">
        <w:rPr>
          <w:b/>
          <w:bCs/>
          <w:lang w:val="nl-NL"/>
        </w:rPr>
        <w:t>tussen het charter en het federale aankoopbeleid kan het volgende gesteld worden</w:t>
      </w:r>
      <w:r w:rsidR="00D328F9">
        <w:rPr>
          <w:lang w:val="nl-NL"/>
        </w:rPr>
        <w:t xml:space="preserve">: het charter </w:t>
      </w:r>
      <w:r w:rsidR="008A26E0">
        <w:rPr>
          <w:lang w:val="nl-NL"/>
        </w:rPr>
        <w:t>herinnert</w:t>
      </w:r>
      <w:r w:rsidR="00D328F9">
        <w:rPr>
          <w:lang w:val="nl-NL"/>
        </w:rPr>
        <w:t xml:space="preserve"> de aanbesteder aan</w:t>
      </w:r>
      <w:r w:rsidR="00991661">
        <w:rPr>
          <w:lang w:val="nl-NL"/>
        </w:rPr>
        <w:t>,</w:t>
      </w:r>
      <w:r w:rsidR="00D328F9">
        <w:rPr>
          <w:lang w:val="nl-NL"/>
        </w:rPr>
        <w:t xml:space="preserve"> </w:t>
      </w:r>
      <w:r w:rsidR="008A26E0">
        <w:rPr>
          <w:lang w:val="nl-NL"/>
        </w:rPr>
        <w:t>voor de kmo-participatie</w:t>
      </w:r>
      <w:r w:rsidR="00991661">
        <w:rPr>
          <w:lang w:val="nl-NL"/>
        </w:rPr>
        <w:t>,</w:t>
      </w:r>
      <w:r w:rsidR="008A26E0">
        <w:rPr>
          <w:lang w:val="nl-NL"/>
        </w:rPr>
        <w:t xml:space="preserve"> relevante wettelijke bepalingen</w:t>
      </w:r>
      <w:r w:rsidR="00824D90">
        <w:rPr>
          <w:lang w:val="nl-NL"/>
        </w:rPr>
        <w:t>, duidt die bepalingen meer in detail en geeft aan hoe die</w:t>
      </w:r>
      <w:r w:rsidR="002E04BD">
        <w:rPr>
          <w:lang w:val="nl-NL"/>
        </w:rPr>
        <w:t xml:space="preserve"> bepalingen in de praktijk bij voorkeur worden toegepast. </w:t>
      </w:r>
      <w:r w:rsidR="002E04BD" w:rsidRPr="00AB1459">
        <w:rPr>
          <w:b/>
          <w:bCs/>
          <w:lang w:val="nl-NL"/>
        </w:rPr>
        <w:t xml:space="preserve">Daarbij is het </w:t>
      </w:r>
      <w:r w:rsidR="00643355">
        <w:rPr>
          <w:b/>
          <w:bCs/>
          <w:lang w:val="nl-NL"/>
        </w:rPr>
        <w:t>noodzakelijk</w:t>
      </w:r>
      <w:r w:rsidR="002E04BD" w:rsidRPr="00AB1459">
        <w:rPr>
          <w:b/>
          <w:bCs/>
          <w:lang w:val="nl-NL"/>
        </w:rPr>
        <w:t xml:space="preserve"> dat </w:t>
      </w:r>
      <w:r w:rsidR="00812B85" w:rsidRPr="00AB1459">
        <w:rPr>
          <w:b/>
          <w:bCs/>
          <w:lang w:val="nl-NL"/>
        </w:rPr>
        <w:t xml:space="preserve">de </w:t>
      </w:r>
      <w:r w:rsidR="002E04BD" w:rsidRPr="00AB1459">
        <w:rPr>
          <w:b/>
          <w:bCs/>
          <w:lang w:val="nl-NL"/>
        </w:rPr>
        <w:t>federale aanbesteder dat doet binnen het kader van het federale aankoopbeleid zoals geschetst</w:t>
      </w:r>
      <w:r w:rsidR="00BC757D" w:rsidRPr="00AB1459">
        <w:rPr>
          <w:b/>
          <w:bCs/>
          <w:lang w:val="nl-NL"/>
        </w:rPr>
        <w:t xml:space="preserve"> in het KB van 21 juli 2023</w:t>
      </w:r>
      <w:r w:rsidR="00BC757D">
        <w:rPr>
          <w:lang w:val="nl-NL"/>
        </w:rPr>
        <w:t>.</w:t>
      </w:r>
    </w:p>
    <w:p w14:paraId="4695C53A" w14:textId="710D87D1" w:rsidR="00163ADB" w:rsidRDefault="006B6393" w:rsidP="0056222B">
      <w:pPr>
        <w:rPr>
          <w:lang w:val="nl-NL"/>
        </w:rPr>
      </w:pPr>
      <w:r>
        <w:rPr>
          <w:lang w:val="nl-NL"/>
        </w:rPr>
        <w:t xml:space="preserve">Ter herinnering: </w:t>
      </w:r>
    </w:p>
    <w:p w14:paraId="03969632" w14:textId="77C56EAB" w:rsidR="00540397" w:rsidRDefault="00882EA5" w:rsidP="00540397">
      <w:pPr>
        <w:pStyle w:val="Bullet1"/>
        <w:rPr>
          <w:lang w:val="nl-BE"/>
        </w:rPr>
      </w:pPr>
      <w:r>
        <w:rPr>
          <w:lang w:val="nl-BE"/>
        </w:rPr>
        <w:t xml:space="preserve">de </w:t>
      </w:r>
      <w:r w:rsidR="00540397" w:rsidRPr="009E5923">
        <w:rPr>
          <w:lang w:val="nl-BE"/>
        </w:rPr>
        <w:t xml:space="preserve">bepalingen van </w:t>
      </w:r>
      <w:r w:rsidR="006128C2">
        <w:rPr>
          <w:lang w:val="nl-BE"/>
        </w:rPr>
        <w:t>dit</w:t>
      </w:r>
      <w:r w:rsidR="00540397" w:rsidRPr="009E5923">
        <w:rPr>
          <w:lang w:val="nl-BE"/>
        </w:rPr>
        <w:t xml:space="preserve"> </w:t>
      </w:r>
      <w:r w:rsidR="00D71176">
        <w:rPr>
          <w:lang w:val="nl-BE"/>
        </w:rPr>
        <w:t>KB</w:t>
      </w:r>
      <w:r w:rsidR="00540397" w:rsidRPr="009E5923">
        <w:rPr>
          <w:lang w:val="nl-BE"/>
        </w:rPr>
        <w:t xml:space="preserve"> zijn van toepassing op de overheidsopdrachten voor leveringen en diensten die vallen onder titel 2 van de wet overheidsopdrachten</w:t>
      </w:r>
      <w:r w:rsidR="00623CBD">
        <w:rPr>
          <w:lang w:val="nl-BE"/>
        </w:rPr>
        <w:t xml:space="preserve"> – mits enkele uitzonderingen</w:t>
      </w:r>
      <w:r>
        <w:rPr>
          <w:lang w:val="nl-BE"/>
        </w:rPr>
        <w:t>;</w:t>
      </w:r>
    </w:p>
    <w:p w14:paraId="50D3435A" w14:textId="132A05E6" w:rsidR="00121384" w:rsidRDefault="00930D00" w:rsidP="009E5923">
      <w:pPr>
        <w:pStyle w:val="Bullet1"/>
        <w:rPr>
          <w:lang w:val="nl-BE"/>
        </w:rPr>
      </w:pPr>
      <w:r>
        <w:rPr>
          <w:lang w:val="nl-BE"/>
        </w:rPr>
        <w:t xml:space="preserve">het </w:t>
      </w:r>
      <w:r w:rsidR="00D71176">
        <w:rPr>
          <w:lang w:val="nl-BE"/>
        </w:rPr>
        <w:t>KB</w:t>
      </w:r>
      <w:r>
        <w:rPr>
          <w:lang w:val="nl-BE"/>
        </w:rPr>
        <w:t xml:space="preserve"> is van toepassing op alle federale instellingen, uitgezonderd </w:t>
      </w:r>
      <w:r w:rsidRPr="006305B5">
        <w:rPr>
          <w:lang w:val="nl-BE"/>
        </w:rPr>
        <w:t>staatsbedrijven</w:t>
      </w:r>
      <w:r>
        <w:rPr>
          <w:lang w:val="nl-BE"/>
        </w:rPr>
        <w:t xml:space="preserve">, </w:t>
      </w:r>
      <w:r w:rsidR="005B6233">
        <w:rPr>
          <w:lang w:val="nl-BE"/>
        </w:rPr>
        <w:t xml:space="preserve">en </w:t>
      </w:r>
      <w:r w:rsidR="00567E2A">
        <w:rPr>
          <w:lang w:val="nl-BE"/>
        </w:rPr>
        <w:t>voorziet een opdeling</w:t>
      </w:r>
      <w:r w:rsidR="005B6233">
        <w:rPr>
          <w:lang w:val="nl-BE"/>
        </w:rPr>
        <w:t xml:space="preserve"> in “actieve” verplichte deelnemers en “passieve” vrijwillige deelnemers.</w:t>
      </w:r>
    </w:p>
    <w:p w14:paraId="6BE09EEC" w14:textId="2986883C" w:rsidR="008C0FD4" w:rsidRDefault="00121384" w:rsidP="007843F0">
      <w:r>
        <w:t xml:space="preserve">Met andere woorden: het toepassingsgebied van het charter </w:t>
      </w:r>
      <w:r w:rsidR="00C1737D">
        <w:t xml:space="preserve">is breder dan dat van </w:t>
      </w:r>
      <w:r w:rsidR="005B1A94">
        <w:t>dit</w:t>
      </w:r>
      <w:r w:rsidR="00C1737D">
        <w:t xml:space="preserve"> KB</w:t>
      </w:r>
      <w:r w:rsidR="00BB02AA">
        <w:t>, denk bijvoorbeeld aan opdrachten voor werken</w:t>
      </w:r>
      <w:r w:rsidR="00D66450">
        <w:t xml:space="preserve"> die onder het charter vallen</w:t>
      </w:r>
      <w:r w:rsidR="00E31AFC">
        <w:t>, maar niet onder het KB</w:t>
      </w:r>
      <w:r w:rsidR="00BB02AA">
        <w:t xml:space="preserve">. </w:t>
      </w:r>
      <w:r w:rsidR="005B6233">
        <w:t xml:space="preserve"> </w:t>
      </w:r>
      <w:r w:rsidR="008C0FD4">
        <w:t xml:space="preserve"> </w:t>
      </w:r>
    </w:p>
    <w:p w14:paraId="12DFAF7A" w14:textId="35750209" w:rsidR="00226AE4" w:rsidRDefault="005B6233" w:rsidP="0056222B">
      <w:pPr>
        <w:rPr>
          <w:lang w:val="nl-NL"/>
        </w:rPr>
      </w:pPr>
      <w:r>
        <w:rPr>
          <w:lang w:val="nl-NL"/>
        </w:rPr>
        <w:t>H</w:t>
      </w:r>
      <w:r w:rsidR="00473018">
        <w:rPr>
          <w:lang w:val="nl-NL"/>
        </w:rPr>
        <w:t>et KB</w:t>
      </w:r>
      <w:r w:rsidR="0056540B">
        <w:rPr>
          <w:lang w:val="nl-NL"/>
        </w:rPr>
        <w:t xml:space="preserve"> kent</w:t>
      </w:r>
      <w:r w:rsidR="00473018">
        <w:rPr>
          <w:lang w:val="nl-NL"/>
        </w:rPr>
        <w:t xml:space="preserve"> drie doelstellingen: </w:t>
      </w:r>
      <w:r w:rsidR="00061314">
        <w:rPr>
          <w:lang w:val="nl-NL"/>
        </w:rPr>
        <w:t>het verhogen van de efficiëntie</w:t>
      </w:r>
      <w:r w:rsidR="00660726">
        <w:rPr>
          <w:lang w:val="nl-NL"/>
        </w:rPr>
        <w:t xml:space="preserve"> </w:t>
      </w:r>
      <w:r w:rsidR="00660726" w:rsidRPr="00660726">
        <w:rPr>
          <w:lang w:val="nl-NL"/>
        </w:rPr>
        <w:t>(efficiëntie van inkoopmethoden en mogelijke schaalvoordelen)</w:t>
      </w:r>
      <w:r w:rsidR="005C187C">
        <w:rPr>
          <w:lang w:val="nl-NL"/>
        </w:rPr>
        <w:t>, het vergroten van de kmo-participatie</w:t>
      </w:r>
      <w:r w:rsidR="00AD0F66">
        <w:rPr>
          <w:lang w:val="nl-NL"/>
        </w:rPr>
        <w:t xml:space="preserve"> en het bevorderen van </w:t>
      </w:r>
      <w:r w:rsidR="000D0EED">
        <w:rPr>
          <w:lang w:val="nl-NL"/>
        </w:rPr>
        <w:t xml:space="preserve">de duurzaamheid van overheidsopdrachten. </w:t>
      </w:r>
      <w:r w:rsidR="004D4E2E">
        <w:rPr>
          <w:lang w:val="nl-NL"/>
        </w:rPr>
        <w:t xml:space="preserve">Daarbij merkt het KB op dat </w:t>
      </w:r>
      <w:r w:rsidR="0076502E">
        <w:rPr>
          <w:lang w:val="nl-NL"/>
        </w:rPr>
        <w:t xml:space="preserve">bepaalde doelstellingen tegengesteld kunnen lijken </w:t>
      </w:r>
      <w:r w:rsidR="003C1316">
        <w:rPr>
          <w:lang w:val="nl-NL"/>
        </w:rPr>
        <w:t xml:space="preserve">en dat daarom per aankoopdomein </w:t>
      </w:r>
      <w:r w:rsidR="005E4BF5">
        <w:rPr>
          <w:lang w:val="nl-NL"/>
        </w:rPr>
        <w:t xml:space="preserve">evenwichtige beslissingen moeten worden genomen over de te volgen aankoopstrategie. </w:t>
      </w:r>
    </w:p>
    <w:p w14:paraId="0EF370A5" w14:textId="726D0F9D" w:rsidR="003F4354" w:rsidRDefault="003F4354" w:rsidP="006233FC">
      <w:pPr>
        <w:rPr>
          <w:lang w:val="nl-NL"/>
        </w:rPr>
      </w:pPr>
      <w:r>
        <w:rPr>
          <w:lang w:val="nl-NL"/>
        </w:rPr>
        <w:t xml:space="preserve">Het KB </w:t>
      </w:r>
      <w:r w:rsidRPr="00E94FEB">
        <w:rPr>
          <w:lang w:val="nl-NL"/>
        </w:rPr>
        <w:t xml:space="preserve">vereist </w:t>
      </w:r>
      <w:r w:rsidR="00DF346F" w:rsidRPr="00E94FEB">
        <w:rPr>
          <w:lang w:val="nl-NL"/>
        </w:rPr>
        <w:t>van</w:t>
      </w:r>
      <w:r w:rsidRPr="00E94FEB">
        <w:rPr>
          <w:lang w:val="nl-NL"/>
        </w:rPr>
        <w:t xml:space="preserve"> elke actieve deelnemer</w:t>
      </w:r>
      <w:r w:rsidR="00DF346F" w:rsidRPr="00E94FEB">
        <w:rPr>
          <w:lang w:val="nl-NL"/>
        </w:rPr>
        <w:t xml:space="preserve"> </w:t>
      </w:r>
      <w:r w:rsidR="006233FC" w:rsidRPr="00E94FEB">
        <w:rPr>
          <w:lang w:val="nl-NL"/>
        </w:rPr>
        <w:t>een indicatieve, jaarlijks herzienbare meerjarenplanning</w:t>
      </w:r>
      <w:r w:rsidR="006233FC" w:rsidRPr="006233FC">
        <w:rPr>
          <w:lang w:val="nl-NL"/>
        </w:rPr>
        <w:t xml:space="preserve"> van de gemeenschappelijke behoeften</w:t>
      </w:r>
      <w:r w:rsidR="002E5DAE">
        <w:rPr>
          <w:lang w:val="nl-NL"/>
        </w:rPr>
        <w:t>.</w:t>
      </w:r>
      <w:r w:rsidR="006233FC" w:rsidRPr="006233FC">
        <w:rPr>
          <w:lang w:val="nl-NL"/>
        </w:rPr>
        <w:t xml:space="preserve"> </w:t>
      </w:r>
      <w:r w:rsidR="002E5DAE">
        <w:rPr>
          <w:lang w:val="nl-NL"/>
        </w:rPr>
        <w:t>D</w:t>
      </w:r>
      <w:r w:rsidR="006233FC" w:rsidRPr="006233FC">
        <w:rPr>
          <w:lang w:val="nl-NL"/>
        </w:rPr>
        <w:t>ie</w:t>
      </w:r>
      <w:r w:rsidR="002E5DAE">
        <w:rPr>
          <w:lang w:val="nl-NL"/>
        </w:rPr>
        <w:t xml:space="preserve"> meerjarenplanning is</w:t>
      </w:r>
      <w:r w:rsidR="006233FC" w:rsidRPr="006233FC">
        <w:rPr>
          <w:lang w:val="nl-NL"/>
        </w:rPr>
        <w:t xml:space="preserve"> minimaal opgebouwd </w:t>
      </w:r>
      <w:r w:rsidR="006233FC">
        <w:rPr>
          <w:lang w:val="nl-NL"/>
        </w:rPr>
        <w:t xml:space="preserve">uit een </w:t>
      </w:r>
      <w:r w:rsidR="006233FC" w:rsidRPr="006233FC">
        <w:rPr>
          <w:lang w:val="nl-NL"/>
        </w:rPr>
        <w:t xml:space="preserve">raming van de gemeenschappelijke behoeften in </w:t>
      </w:r>
      <w:r w:rsidR="006233FC">
        <w:rPr>
          <w:lang w:val="nl-NL"/>
        </w:rPr>
        <w:t>de zin</w:t>
      </w:r>
      <w:r w:rsidR="006233FC" w:rsidRPr="006233FC">
        <w:rPr>
          <w:lang w:val="nl-NL"/>
        </w:rPr>
        <w:t xml:space="preserve"> van hoeveelheden of, in voorkomend geval, maximale waarde</w:t>
      </w:r>
      <w:r w:rsidR="002E5DAE">
        <w:rPr>
          <w:lang w:val="nl-NL"/>
        </w:rPr>
        <w:t xml:space="preserve"> en een </w:t>
      </w:r>
      <w:r w:rsidR="006233FC" w:rsidRPr="006233FC">
        <w:rPr>
          <w:lang w:val="nl-NL"/>
        </w:rPr>
        <w:t>raming van de budgettaire impact van de gemeenschappelijke behoeften</w:t>
      </w:r>
      <w:r w:rsidR="002E5DAE">
        <w:rPr>
          <w:lang w:val="nl-NL"/>
        </w:rPr>
        <w:t>.</w:t>
      </w:r>
    </w:p>
    <w:p w14:paraId="527B3BAD" w14:textId="2DF6B6C4" w:rsidR="006D055B" w:rsidRDefault="0064756B" w:rsidP="0056222B">
      <w:pPr>
        <w:rPr>
          <w:lang w:val="nl-NL"/>
        </w:rPr>
      </w:pPr>
      <w:r>
        <w:rPr>
          <w:lang w:val="nl-NL"/>
        </w:rPr>
        <w:t xml:space="preserve">Het KB bevat </w:t>
      </w:r>
      <w:r w:rsidR="00635584">
        <w:rPr>
          <w:lang w:val="nl-NL"/>
        </w:rPr>
        <w:t xml:space="preserve">bovendien </w:t>
      </w:r>
      <w:r>
        <w:rPr>
          <w:lang w:val="nl-NL"/>
        </w:rPr>
        <w:t>twee cruciale bijlagen:</w:t>
      </w:r>
    </w:p>
    <w:p w14:paraId="072ABDB1" w14:textId="6A298D22" w:rsidR="0064756B" w:rsidRDefault="00816D7C" w:rsidP="0064756B">
      <w:pPr>
        <w:pStyle w:val="Bullet1"/>
        <w:rPr>
          <w:lang w:val="nl-BE"/>
        </w:rPr>
      </w:pPr>
      <w:r>
        <w:rPr>
          <w:lang w:val="nl-BE"/>
        </w:rPr>
        <w:t>b</w:t>
      </w:r>
      <w:r w:rsidRPr="009E5923">
        <w:rPr>
          <w:lang w:val="nl-BE"/>
        </w:rPr>
        <w:t xml:space="preserve">ijlage 2 bevat de gemeenschappelijke behoeften </w:t>
      </w:r>
      <w:r w:rsidR="00977764">
        <w:rPr>
          <w:lang w:val="nl-BE"/>
        </w:rPr>
        <w:t>inzake</w:t>
      </w:r>
      <w:r w:rsidRPr="009E5923">
        <w:rPr>
          <w:lang w:val="nl-BE"/>
        </w:rPr>
        <w:t xml:space="preserve"> </w:t>
      </w:r>
      <w:r w:rsidR="00977764">
        <w:rPr>
          <w:lang w:val="nl-BE"/>
        </w:rPr>
        <w:t>de</w:t>
      </w:r>
      <w:r w:rsidRPr="009E5923">
        <w:rPr>
          <w:lang w:val="nl-BE"/>
        </w:rPr>
        <w:t xml:space="preserve"> transversale aankoopdomeinen</w:t>
      </w:r>
      <w:r>
        <w:rPr>
          <w:lang w:val="nl-BE"/>
        </w:rPr>
        <w:t>;</w:t>
      </w:r>
    </w:p>
    <w:p w14:paraId="449AEBCB" w14:textId="630F0B23" w:rsidR="00816D7C" w:rsidRDefault="00E06D23" w:rsidP="0064756B">
      <w:pPr>
        <w:pStyle w:val="Bullet1"/>
        <w:rPr>
          <w:lang w:val="nl-BE"/>
        </w:rPr>
      </w:pPr>
      <w:r>
        <w:rPr>
          <w:lang w:val="nl-BE"/>
        </w:rPr>
        <w:t>b</w:t>
      </w:r>
      <w:r w:rsidRPr="00E06D23">
        <w:rPr>
          <w:lang w:val="nl-BE"/>
        </w:rPr>
        <w:t>ijlage 3 heeft betrekking op andere, niet-transversale, aankoopdomeinen die het voorwerp kunnen uitmaken van gemeenschappelijke overeenkomsten</w:t>
      </w:r>
      <w:r>
        <w:rPr>
          <w:lang w:val="nl-BE"/>
        </w:rPr>
        <w:t>.</w:t>
      </w:r>
    </w:p>
    <w:p w14:paraId="6027BA83" w14:textId="091DA3D0" w:rsidR="00A34E34" w:rsidRDefault="000F1A84" w:rsidP="000F1A84">
      <w:r w:rsidRPr="00793374">
        <w:t>Voor meer informatie</w:t>
      </w:r>
      <w:r w:rsidR="006778B2" w:rsidRPr="00793374">
        <w:t xml:space="preserve"> over die twee bijlagen en de</w:t>
      </w:r>
      <w:r w:rsidR="0093218E" w:rsidRPr="00793374">
        <w:t xml:space="preserve"> specifieke</w:t>
      </w:r>
      <w:r w:rsidR="006778B2" w:rsidRPr="00793374">
        <w:t xml:space="preserve"> bepalingen inzake aankoopcentrales en het gebruik van raamovereenkomsten, zie punt 12.3.2 van dit charter.</w:t>
      </w:r>
      <w:r w:rsidR="006778B2">
        <w:t xml:space="preserve"> </w:t>
      </w:r>
    </w:p>
    <w:p w14:paraId="67230678" w14:textId="6B41FA45" w:rsidR="00762D00" w:rsidRDefault="00B243A2" w:rsidP="00B243A2">
      <w:pPr>
        <w:pStyle w:val="Kop4"/>
        <w:rPr>
          <w:lang w:val="nl-BE"/>
        </w:rPr>
      </w:pPr>
      <w:r w:rsidRPr="00B243A2">
        <w:rPr>
          <w:lang w:val="nl-BE"/>
        </w:rPr>
        <w:t>Machtigingen voor de FOD E</w:t>
      </w:r>
      <w:r>
        <w:rPr>
          <w:lang w:val="nl-BE"/>
        </w:rPr>
        <w:t>conomie</w:t>
      </w:r>
    </w:p>
    <w:p w14:paraId="3A7ECDF6" w14:textId="22D9E719" w:rsidR="0030304F" w:rsidRDefault="0030304F" w:rsidP="0030304F">
      <w:r>
        <w:t>Om enerzijds de voornoemde bijlagen na de officiële publicatie van het charter eraan te kunnen toevoegen</w:t>
      </w:r>
      <w:r w:rsidR="00D53F7A">
        <w:t>,</w:t>
      </w:r>
      <w:r>
        <w:t xml:space="preserve"> en om anderzijds het charter zelf op specifieke plaatsen up to date te kunnen houden zonder telkens de formele procedure via de ministerraad te moeten doorlopen, werd er door de bevoegde overheidsdienst een aantal machtigingen gevraagd aan en bekomen van de federale regering. Het betreft een machtiging</w:t>
      </w:r>
    </w:p>
    <w:p w14:paraId="2DB0377A" w14:textId="17CF56EE" w:rsidR="0030304F" w:rsidRPr="00875933" w:rsidRDefault="0030304F">
      <w:pPr>
        <w:pStyle w:val="Bullet1"/>
        <w:rPr>
          <w:lang w:val="nl-BE"/>
        </w:rPr>
      </w:pPr>
      <w:r w:rsidRPr="00875933">
        <w:rPr>
          <w:lang w:val="nl-BE"/>
        </w:rPr>
        <w:t>voor de FOD Economie inzake het sporadisch updaten van het charter: op het vlak van de Europese drempelbedragen die elke twee jaar herzien worden</w:t>
      </w:r>
      <w:r w:rsidR="00CE55A4">
        <w:rPr>
          <w:rStyle w:val="Voetnootmarkering"/>
          <w:lang w:val="nl-BE"/>
        </w:rPr>
        <w:footnoteReference w:id="2"/>
      </w:r>
      <w:r w:rsidRPr="00875933">
        <w:rPr>
          <w:lang w:val="nl-BE"/>
        </w:rPr>
        <w:t>, op het vlak van reglementaire overgangsbepalingen die vermeld worden in het charter, maar niet langer van kracht zijn sinds de vorige update van het charter</w:t>
      </w:r>
      <w:r w:rsidR="00FE712A">
        <w:rPr>
          <w:lang w:val="nl-BE"/>
        </w:rPr>
        <w:t xml:space="preserve">, en op het vlak van de kaders “toekomstig recht” </w:t>
      </w:r>
      <w:r w:rsidR="008C5734">
        <w:rPr>
          <w:lang w:val="nl-BE"/>
        </w:rPr>
        <w:t>waarvan de inhoud</w:t>
      </w:r>
      <w:r w:rsidR="00FE712A">
        <w:rPr>
          <w:lang w:val="nl-BE"/>
        </w:rPr>
        <w:t xml:space="preserve"> </w:t>
      </w:r>
      <w:r w:rsidR="00C2081F">
        <w:rPr>
          <w:lang w:val="nl-BE"/>
        </w:rPr>
        <w:t xml:space="preserve">ondertussen </w:t>
      </w:r>
      <w:r w:rsidR="00FE712A">
        <w:rPr>
          <w:lang w:val="nl-BE"/>
        </w:rPr>
        <w:t>definitie</w:t>
      </w:r>
      <w:r w:rsidR="00AC0D5F">
        <w:rPr>
          <w:lang w:val="nl-BE"/>
        </w:rPr>
        <w:t>f</w:t>
      </w:r>
      <w:r w:rsidR="00FE712A">
        <w:rPr>
          <w:lang w:val="nl-BE"/>
        </w:rPr>
        <w:t xml:space="preserve"> in werking getreden </w:t>
      </w:r>
      <w:r w:rsidR="008C5734">
        <w:rPr>
          <w:lang w:val="nl-BE"/>
        </w:rPr>
        <w:t>is</w:t>
      </w:r>
      <w:r w:rsidRPr="00875933">
        <w:rPr>
          <w:lang w:val="nl-BE"/>
        </w:rPr>
        <w:t xml:space="preserve">. In het geval dat wijzigingen aan de </w:t>
      </w:r>
      <w:r w:rsidRPr="00875933">
        <w:rPr>
          <w:lang w:val="nl-BE"/>
        </w:rPr>
        <w:lastRenderedPageBreak/>
        <w:t>regelgeving overheidsopdrachten een impact hebben op de bijlage van het charter die een overzicht bevat van de relevante wetgeving voor elk principe van het charter, kan ook die bijlage een update krijgen door de FOD Economie.</w:t>
      </w:r>
    </w:p>
    <w:p w14:paraId="5C4D0661" w14:textId="55C89C17" w:rsidR="0030304F" w:rsidRPr="00875933" w:rsidRDefault="0030304F">
      <w:pPr>
        <w:pStyle w:val="Bullet1"/>
        <w:rPr>
          <w:lang w:val="nl-BE"/>
        </w:rPr>
      </w:pPr>
      <w:r w:rsidRPr="00A5017C">
        <w:rPr>
          <w:lang w:val="nl-BE"/>
        </w:rPr>
        <w:t xml:space="preserve">voor de FOD Economie om </w:t>
      </w:r>
      <w:r w:rsidR="009058BA" w:rsidRPr="00A5017C">
        <w:rPr>
          <w:lang w:val="nl-BE"/>
        </w:rPr>
        <w:t xml:space="preserve">enerzijds </w:t>
      </w:r>
      <w:r w:rsidRPr="00A5017C">
        <w:rPr>
          <w:lang w:val="nl-BE"/>
        </w:rPr>
        <w:t>ook andere bijlages, zoals de bijlages over typeclausules (scenario’s), toe te voegen en van een update te voorzien</w:t>
      </w:r>
      <w:r w:rsidR="00BB430D" w:rsidRPr="00A5017C">
        <w:rPr>
          <w:lang w:val="nl-BE"/>
        </w:rPr>
        <w:t>,</w:t>
      </w:r>
      <w:r w:rsidR="00DB07DE" w:rsidRPr="00A5017C">
        <w:rPr>
          <w:lang w:val="nl-BE"/>
        </w:rPr>
        <w:t xml:space="preserve"> en </w:t>
      </w:r>
      <w:r w:rsidR="00BB430D" w:rsidRPr="00A5017C">
        <w:rPr>
          <w:lang w:val="nl-BE"/>
        </w:rPr>
        <w:t xml:space="preserve">om </w:t>
      </w:r>
      <w:r w:rsidR="00DB07DE" w:rsidRPr="00A5017C">
        <w:rPr>
          <w:lang w:val="nl-BE"/>
        </w:rPr>
        <w:t xml:space="preserve">anderzijds </w:t>
      </w:r>
      <w:r w:rsidR="001A7FBA" w:rsidRPr="00A5017C">
        <w:rPr>
          <w:lang w:val="nl-BE"/>
        </w:rPr>
        <w:t xml:space="preserve">specifieke aspecten </w:t>
      </w:r>
      <w:r w:rsidR="005B5D9E" w:rsidRPr="00A5017C">
        <w:rPr>
          <w:lang w:val="nl-BE"/>
        </w:rPr>
        <w:t>van het charter</w:t>
      </w:r>
      <w:r w:rsidR="00DB07DE" w:rsidRPr="00A5017C">
        <w:rPr>
          <w:lang w:val="nl-BE"/>
        </w:rPr>
        <w:t xml:space="preserve"> in overeenstemming te brengen met nieuwe</w:t>
      </w:r>
      <w:r w:rsidR="005140EE" w:rsidRPr="00A5017C">
        <w:rPr>
          <w:lang w:val="nl-BE"/>
        </w:rPr>
        <w:t>, toekomstige</w:t>
      </w:r>
      <w:r w:rsidR="00DB07DE" w:rsidRPr="00A5017C">
        <w:rPr>
          <w:lang w:val="nl-BE"/>
        </w:rPr>
        <w:t xml:space="preserve"> instructies</w:t>
      </w:r>
      <w:r w:rsidR="00D12FC7" w:rsidRPr="00A5017C">
        <w:rPr>
          <w:lang w:val="nl-BE"/>
        </w:rPr>
        <w:t xml:space="preserve"> </w:t>
      </w:r>
      <w:r w:rsidR="00DB07DE" w:rsidRPr="00A5017C">
        <w:rPr>
          <w:lang w:val="nl-BE"/>
        </w:rPr>
        <w:t>inzake het federale aankoopbeleid</w:t>
      </w:r>
      <w:r w:rsidR="00D12FC7" w:rsidRPr="00A5017C">
        <w:rPr>
          <w:lang w:val="nl-BE"/>
        </w:rPr>
        <w:t xml:space="preserve"> (bijvoorbeeld</w:t>
      </w:r>
      <w:r w:rsidR="00541496" w:rsidRPr="00A5017C">
        <w:rPr>
          <w:lang w:val="nl-BE"/>
        </w:rPr>
        <w:t xml:space="preserve"> instructies</w:t>
      </w:r>
      <w:r w:rsidR="00D12FC7" w:rsidRPr="00A5017C">
        <w:rPr>
          <w:lang w:val="nl-BE"/>
        </w:rPr>
        <w:t xml:space="preserve"> onder de vorm van een </w:t>
      </w:r>
      <w:r w:rsidR="00541496" w:rsidRPr="00A5017C">
        <w:rPr>
          <w:lang w:val="nl-BE"/>
        </w:rPr>
        <w:t xml:space="preserve"> nieuwe </w:t>
      </w:r>
      <w:r w:rsidR="00D12FC7" w:rsidRPr="00A5017C">
        <w:rPr>
          <w:lang w:val="nl-BE"/>
        </w:rPr>
        <w:t>omzendbrief)</w:t>
      </w:r>
      <w:r w:rsidRPr="00875933">
        <w:rPr>
          <w:lang w:val="nl-BE"/>
        </w:rPr>
        <w:t xml:space="preserve"> – mits het nodige overleg plaatsvond met en de goedkeuring bekomen werd van de Eerste minister, de minister van Ambtenarenzaken en de minister van Zelfstandigen en Kmo’s, en hun respectievelijke bevoegde diensten. </w:t>
      </w:r>
    </w:p>
    <w:p w14:paraId="11FAA6E2" w14:textId="77777777" w:rsidR="0030304F" w:rsidRDefault="0030304F" w:rsidP="0030304F">
      <w:r>
        <w:t>Een echte inhoudelijke update van het charter moet steeds via de federale ministerraad passeren.</w:t>
      </w:r>
    </w:p>
    <w:p w14:paraId="21146BF8" w14:textId="60593FAA" w:rsidR="0030304F" w:rsidRPr="00875933" w:rsidRDefault="0030304F" w:rsidP="0030304F">
      <w:pPr>
        <w:pStyle w:val="Kop4"/>
        <w:rPr>
          <w:lang w:val="nl-BE"/>
        </w:rPr>
      </w:pPr>
      <w:r w:rsidRPr="00875933">
        <w:rPr>
          <w:lang w:val="nl-BE"/>
        </w:rPr>
        <w:t>Monitoring</w:t>
      </w:r>
    </w:p>
    <w:p w14:paraId="69CA5C14" w14:textId="02015EAE" w:rsidR="00DC60AD" w:rsidRPr="00CA7A8C" w:rsidRDefault="00DC60AD" w:rsidP="00DC60AD">
      <w:pPr>
        <w:rPr>
          <w:lang w:val="nl-NL"/>
        </w:rPr>
      </w:pPr>
      <w:r w:rsidRPr="000E2ED8">
        <w:rPr>
          <w:lang w:val="nl-NL"/>
        </w:rPr>
        <w:t>Om</w:t>
      </w:r>
      <w:r w:rsidR="009A0979">
        <w:rPr>
          <w:lang w:val="nl-NL"/>
        </w:rPr>
        <w:t xml:space="preserve"> onder</w:t>
      </w:r>
      <w:r w:rsidRPr="000E2ED8">
        <w:rPr>
          <w:lang w:val="nl-NL"/>
        </w:rPr>
        <w:t xml:space="preserve"> </w:t>
      </w:r>
      <w:r>
        <w:rPr>
          <w:lang w:val="nl-NL"/>
        </w:rPr>
        <w:t xml:space="preserve">andere </w:t>
      </w:r>
      <w:r w:rsidRPr="000E2ED8">
        <w:rPr>
          <w:lang w:val="nl-NL"/>
        </w:rPr>
        <w:t>het aantal kmo’s dat participeert aan overheidsopdrachten te bestendigen, introduceer</w:t>
      </w:r>
      <w:r>
        <w:rPr>
          <w:lang w:val="nl-NL"/>
        </w:rPr>
        <w:t>de</w:t>
      </w:r>
      <w:r w:rsidRPr="000E2ED8">
        <w:rPr>
          <w:lang w:val="nl-NL"/>
        </w:rPr>
        <w:t xml:space="preserve"> de wetgeving </w:t>
      </w:r>
      <w:r>
        <w:rPr>
          <w:lang w:val="nl-NL"/>
        </w:rPr>
        <w:t xml:space="preserve">overheidsopdrachten een aantal jaren geleden </w:t>
      </w:r>
      <w:r w:rsidRPr="000E2ED8">
        <w:rPr>
          <w:lang w:val="nl-NL"/>
        </w:rPr>
        <w:t>een monitoring. Die monitoring omvat</w:t>
      </w:r>
      <w:r w:rsidR="00FC0BC5">
        <w:rPr>
          <w:lang w:val="nl-NL"/>
        </w:rPr>
        <w:t xml:space="preserve"> logischerwijs</w:t>
      </w:r>
      <w:r w:rsidRPr="000E2ED8">
        <w:rPr>
          <w:lang w:val="nl-NL"/>
        </w:rPr>
        <w:t xml:space="preserve"> </w:t>
      </w:r>
      <w:r>
        <w:rPr>
          <w:lang w:val="nl-NL"/>
        </w:rPr>
        <w:t>onder meer de</w:t>
      </w:r>
      <w:r w:rsidRPr="000E2ED8">
        <w:rPr>
          <w:lang w:val="nl-NL"/>
        </w:rPr>
        <w:t xml:space="preserve"> systematische opvolging van de toegang van kmo’s tot overheidsopdrachten. </w:t>
      </w:r>
      <w:r>
        <w:rPr>
          <w:lang w:val="nl-NL"/>
        </w:rPr>
        <w:t xml:space="preserve">Uit </w:t>
      </w:r>
      <w:r w:rsidR="006F1ECF">
        <w:rPr>
          <w:lang w:val="nl-NL"/>
        </w:rPr>
        <w:t xml:space="preserve">een </w:t>
      </w:r>
      <w:r>
        <w:rPr>
          <w:lang w:val="nl-NL"/>
        </w:rPr>
        <w:t>analyse</w:t>
      </w:r>
      <w:r w:rsidR="006F1ECF">
        <w:rPr>
          <w:lang w:val="nl-NL"/>
        </w:rPr>
        <w:t xml:space="preserve"> van de kwaliteit van die monito</w:t>
      </w:r>
      <w:r w:rsidR="00FC0BC5">
        <w:rPr>
          <w:lang w:val="nl-NL"/>
        </w:rPr>
        <w:t>r</w:t>
      </w:r>
      <w:r w:rsidR="006F1ECF">
        <w:rPr>
          <w:lang w:val="nl-NL"/>
        </w:rPr>
        <w:t>ing</w:t>
      </w:r>
      <w:r>
        <w:rPr>
          <w:lang w:val="nl-NL"/>
        </w:rPr>
        <w:t xml:space="preserve"> kwam</w:t>
      </w:r>
      <w:r w:rsidR="00FC0BC5">
        <w:rPr>
          <w:lang w:val="nl-NL"/>
        </w:rPr>
        <w:t xml:space="preserve"> echter</w:t>
      </w:r>
      <w:r>
        <w:rPr>
          <w:lang w:val="nl-NL"/>
        </w:rPr>
        <w:t xml:space="preserve"> naar voren </w:t>
      </w:r>
      <w:r w:rsidRPr="00CA7A8C">
        <w:rPr>
          <w:lang w:val="nl-NL"/>
        </w:rPr>
        <w:t>dat er een aantal lacunes waren in de wetgeving overheidsopdrachten waardoor de kwaliteit van de beschikbare gegevens over kmo-participatie beperkt is. Om die situatie te verhelpen, werd de relevante wetgeving van een update voorzien opdat een structurele en kwaliteitsvolle monitoring een werkelijkheid wordt. Principe 14 van dit charter gaat dieper in op d</w:t>
      </w:r>
      <w:r w:rsidR="005B74BF" w:rsidRPr="00CA7A8C">
        <w:rPr>
          <w:lang w:val="nl-NL"/>
        </w:rPr>
        <w:t>i</w:t>
      </w:r>
      <w:r w:rsidRPr="00CA7A8C">
        <w:rPr>
          <w:lang w:val="nl-NL"/>
        </w:rPr>
        <w:t xml:space="preserve">e wijzigingen in de reglementering en het thema monitoring op zich.  </w:t>
      </w:r>
    </w:p>
    <w:p w14:paraId="133B5272" w14:textId="262B6BE3" w:rsidR="00DC60AD" w:rsidRPr="00CA7A8C" w:rsidRDefault="00DC60AD" w:rsidP="00DC60AD">
      <w:pPr>
        <w:rPr>
          <w:lang w:val="nl-NL"/>
        </w:rPr>
      </w:pPr>
      <w:r w:rsidRPr="00CA7A8C">
        <w:rPr>
          <w:lang w:val="nl-NL"/>
        </w:rPr>
        <w:t xml:space="preserve">In functie van deze monitoring zal het SFA, </w:t>
      </w:r>
      <w:r w:rsidR="009C24D1">
        <w:rPr>
          <w:lang w:val="nl-NL"/>
        </w:rPr>
        <w:t xml:space="preserve">op basis van </w:t>
      </w:r>
      <w:r w:rsidR="00B169F5">
        <w:rPr>
          <w:lang w:val="nl-NL"/>
        </w:rPr>
        <w:t xml:space="preserve">de </w:t>
      </w:r>
      <w:r w:rsidR="00372A99">
        <w:rPr>
          <w:lang w:val="nl-NL"/>
        </w:rPr>
        <w:t xml:space="preserve">bevoegdheden en </w:t>
      </w:r>
      <w:r w:rsidR="00B169F5">
        <w:rPr>
          <w:lang w:val="nl-NL"/>
        </w:rPr>
        <w:t>taken toegekend door  het</w:t>
      </w:r>
      <w:r w:rsidRPr="00CA7A8C">
        <w:rPr>
          <w:lang w:val="nl-NL"/>
        </w:rPr>
        <w:t xml:space="preserve"> </w:t>
      </w:r>
      <w:r w:rsidR="00487A2A">
        <w:rPr>
          <w:lang w:val="nl-NL"/>
        </w:rPr>
        <w:t xml:space="preserve">voormelde </w:t>
      </w:r>
      <w:r w:rsidRPr="00CA7A8C">
        <w:rPr>
          <w:lang w:val="nl-NL"/>
        </w:rPr>
        <w:t xml:space="preserve">koninklijk besluit </w:t>
      </w:r>
      <w:r w:rsidR="002355CE" w:rsidRPr="00CA7A8C">
        <w:rPr>
          <w:lang w:val="nl-NL"/>
        </w:rPr>
        <w:t xml:space="preserve">van </w:t>
      </w:r>
      <w:hyperlink r:id="rId39" w:history="1">
        <w:r w:rsidR="00B169F5" w:rsidRPr="00B10736">
          <w:rPr>
            <w:rStyle w:val="Hyperlink"/>
            <w:lang w:val="nl-NL"/>
          </w:rPr>
          <w:t>2</w:t>
        </w:r>
        <w:r w:rsidR="00D73611" w:rsidRPr="00B10736">
          <w:rPr>
            <w:rStyle w:val="Hyperlink"/>
            <w:lang w:val="nl-NL"/>
          </w:rPr>
          <w:t>1 juli 2023</w:t>
        </w:r>
      </w:hyperlink>
      <w:r w:rsidR="002355CE" w:rsidRPr="00CA7A8C">
        <w:rPr>
          <w:lang w:val="nl-NL"/>
        </w:rPr>
        <w:t xml:space="preserve"> </w:t>
      </w:r>
      <w:r w:rsidRPr="00CA7A8C">
        <w:rPr>
          <w:lang w:val="nl-NL"/>
        </w:rPr>
        <w:t xml:space="preserve">inzake het federaal aankoopbeleid, een algemeen beleid blijven uitzetten over de participatiegraad van kmo’s bij overheidsopdrachten, inclusief doelstellingen en indicatoren. De monitoring zal plaatsvinden in de schoot van het netwerk van het SFA. Bij het bepalen van de doelstellingen en indicatoren baseert het SFA zich </w:t>
      </w:r>
      <w:r w:rsidR="00064225">
        <w:rPr>
          <w:lang w:val="nl-NL"/>
        </w:rPr>
        <w:t xml:space="preserve">onder meer </w:t>
      </w:r>
      <w:r w:rsidRPr="00CA7A8C">
        <w:rPr>
          <w:lang w:val="nl-NL"/>
        </w:rPr>
        <w:t xml:space="preserve">op de principes van dit charter. </w:t>
      </w:r>
    </w:p>
    <w:p w14:paraId="65D69775" w14:textId="2B6AC80E" w:rsidR="00DC60AD" w:rsidRPr="00CA7A8C" w:rsidRDefault="00DC60AD" w:rsidP="00DC60AD">
      <w:pPr>
        <w:rPr>
          <w:lang w:val="nl-NL"/>
        </w:rPr>
      </w:pPr>
      <w:r w:rsidRPr="00CA7A8C">
        <w:rPr>
          <w:lang w:val="nl-NL"/>
        </w:rPr>
        <w:t xml:space="preserve">Het dienstencentrum “Procurement” </w:t>
      </w:r>
      <w:r w:rsidR="0015455C">
        <w:rPr>
          <w:lang w:val="nl-NL"/>
        </w:rPr>
        <w:t xml:space="preserve">bepaalt de jaarlijkse indicatoren, </w:t>
      </w:r>
      <w:r w:rsidRPr="00CA7A8C">
        <w:rPr>
          <w:lang w:val="nl-NL"/>
        </w:rPr>
        <w:t xml:space="preserve">staat in voor de voortdurende opvolging </w:t>
      </w:r>
      <w:r w:rsidR="0015455C">
        <w:rPr>
          <w:lang w:val="nl-NL"/>
        </w:rPr>
        <w:t>ervan</w:t>
      </w:r>
      <w:r w:rsidRPr="00CA7A8C">
        <w:rPr>
          <w:lang w:val="nl-NL"/>
        </w:rPr>
        <w:t xml:space="preserve"> en stelt de resultaten voor via diverse vormen van rapportering. Dat alles gebeurt in samenwerking met de FOD Economie, meer bepaald de A.D. K.M.O.-beleid en Statbel. </w:t>
      </w:r>
    </w:p>
    <w:p w14:paraId="347B6BCC" w14:textId="52835E57" w:rsidR="0030304F" w:rsidRPr="00CA7A8C" w:rsidRDefault="00DC60AD" w:rsidP="00DC60AD">
      <w:pPr>
        <w:pStyle w:val="Kop4"/>
        <w:rPr>
          <w:b/>
          <w:bCs/>
          <w:lang w:val="nl-BE"/>
        </w:rPr>
      </w:pPr>
      <w:r w:rsidRPr="00CA7A8C">
        <w:rPr>
          <w:lang w:val="nl-BE"/>
        </w:rPr>
        <w:t>Dankwoord</w:t>
      </w:r>
    </w:p>
    <w:p w14:paraId="3371B482" w14:textId="169E5660" w:rsidR="00547F34" w:rsidRPr="00CA7A8C" w:rsidRDefault="00547F34" w:rsidP="00547F34">
      <w:pPr>
        <w:rPr>
          <w:lang w:val="nl-NL"/>
        </w:rPr>
      </w:pPr>
      <w:r w:rsidRPr="00CA7A8C">
        <w:rPr>
          <w:lang w:val="nl-NL"/>
        </w:rPr>
        <w:t xml:space="preserve">Tot slot wenst de FOD Economie de </w:t>
      </w:r>
      <w:r w:rsidR="00C57362" w:rsidRPr="00CA7A8C">
        <w:rPr>
          <w:lang w:val="nl-NL"/>
        </w:rPr>
        <w:t>COO</w:t>
      </w:r>
      <w:r w:rsidRPr="00CA7A8C">
        <w:rPr>
          <w:lang w:val="nl-NL"/>
        </w:rPr>
        <w:t xml:space="preserve">, de </w:t>
      </w:r>
      <w:r w:rsidR="00C57362" w:rsidRPr="00CA7A8C">
        <w:rPr>
          <w:lang w:val="nl-NL"/>
        </w:rPr>
        <w:t>HRZKMO</w:t>
      </w:r>
      <w:r w:rsidRPr="00CA7A8C">
        <w:rPr>
          <w:lang w:val="nl-NL"/>
        </w:rPr>
        <w:t xml:space="preserve"> en het </w:t>
      </w:r>
      <w:r w:rsidR="00C57362" w:rsidRPr="00CA7A8C">
        <w:rPr>
          <w:lang w:val="nl-NL"/>
        </w:rPr>
        <w:t>SFA</w:t>
      </w:r>
      <w:r w:rsidRPr="00CA7A8C">
        <w:rPr>
          <w:lang w:val="nl-NL"/>
        </w:rPr>
        <w:t xml:space="preserve"> te bedanken voor de aangeleverde input. Hetzelfde geldt voor onder meer de FOD BOSA, de FOD Kanselarij, de Federale Politie en de Inspectie van Financiën. Bovendien werd een aantal keren publiek beschikbare informatie van andere publieke entiteiten gerecycleerd en/of ter inspiratie gebruikt, waaronder zowel federale als regionale en lokale entiteiten – bijvoorbeeld de Vlaamse Overheid, ook zij verdienen een expliciete vermelding.</w:t>
      </w:r>
    </w:p>
    <w:p w14:paraId="58A388E5" w14:textId="034E0F9D" w:rsidR="00D03C93" w:rsidRPr="00CA7A8C" w:rsidRDefault="00D03C93">
      <w:pPr>
        <w:pStyle w:val="Kop1"/>
      </w:pPr>
      <w:bookmarkStart w:id="3" w:name="_Toc132703169"/>
      <w:bookmarkStart w:id="4" w:name="_Toc135839924"/>
      <w:bookmarkStart w:id="5" w:name="_Toc150870528"/>
      <w:r w:rsidRPr="00CA7A8C">
        <w:t xml:space="preserve">Principe 1 – </w:t>
      </w:r>
      <w:bookmarkEnd w:id="3"/>
      <w:r w:rsidR="00600EA5" w:rsidRPr="00CA7A8C">
        <w:t xml:space="preserve">Naar een optimaal </w:t>
      </w:r>
      <w:r w:rsidR="006C2368" w:rsidRPr="00CA7A8C">
        <w:t>g</w:t>
      </w:r>
      <w:r w:rsidR="00086B09" w:rsidRPr="00CA7A8C">
        <w:t>ebruik van elektronische (communicatie-)middelen</w:t>
      </w:r>
      <w:bookmarkEnd w:id="4"/>
      <w:bookmarkEnd w:id="5"/>
    </w:p>
    <w:p w14:paraId="264697B8" w14:textId="77777777" w:rsidR="00437C23" w:rsidRPr="00CA7A8C" w:rsidRDefault="00437C23">
      <w:pPr>
        <w:pStyle w:val="Kop2"/>
      </w:pPr>
      <w:bookmarkStart w:id="6" w:name="_Toc135839925"/>
      <w:bookmarkStart w:id="7" w:name="_Toc150870529"/>
      <w:r w:rsidRPr="00CA7A8C">
        <w:t>Doelstelling</w:t>
      </w:r>
      <w:bookmarkEnd w:id="6"/>
      <w:bookmarkEnd w:id="7"/>
    </w:p>
    <w:p w14:paraId="0CB9BF69" w14:textId="3EFFF275" w:rsidR="002F5038" w:rsidRPr="00CA7A8C" w:rsidRDefault="007E3E81" w:rsidP="007E3E81">
      <w:r w:rsidRPr="00CA7A8C">
        <w:t>Elektronische (communicatie)middelen in alle fasen van de plaatsingsprocedure</w:t>
      </w:r>
      <w:r w:rsidR="00313388" w:rsidRPr="00CA7A8C">
        <w:t xml:space="preserve"> en</w:t>
      </w:r>
      <w:r w:rsidR="00E42F88" w:rsidRPr="00CA7A8C">
        <w:t xml:space="preserve"> waar mogelijk in</w:t>
      </w:r>
      <w:r w:rsidR="00313388" w:rsidRPr="00CA7A8C">
        <w:t xml:space="preserve"> de fase van de uitvoering</w:t>
      </w:r>
      <w:r w:rsidRPr="00CA7A8C">
        <w:t xml:space="preserve"> gebruiken teneinde de transparantie, </w:t>
      </w:r>
      <w:r w:rsidR="00D62DA9" w:rsidRPr="00CA7A8C">
        <w:t xml:space="preserve">de </w:t>
      </w:r>
      <w:r w:rsidRPr="00CA7A8C">
        <w:t xml:space="preserve">mededinging en het duurzame karakter van de procedure te bevorderen en de administratieve kosten voor zowel de </w:t>
      </w:r>
      <w:r w:rsidR="00482732" w:rsidRPr="00CA7A8C">
        <w:t>aanbesteder</w:t>
      </w:r>
      <w:r w:rsidRPr="00CA7A8C">
        <w:t xml:space="preserve"> als de ondernemingen te beperken. Die elektronische middelen beperken zich niet tot het luik “communicatie”, maar slaan op alle mogelijke aspecten van een overheidsopdracht. </w:t>
      </w:r>
    </w:p>
    <w:p w14:paraId="4D4752FC" w14:textId="16E4D2B4" w:rsidR="00BE071C" w:rsidRPr="00CA7A8C" w:rsidRDefault="007E3E81" w:rsidP="007E3E81">
      <w:r w:rsidRPr="00CA7A8C">
        <w:t xml:space="preserve">In de praktijk wordt </w:t>
      </w:r>
      <w:r w:rsidR="006556F3" w:rsidRPr="00CA7A8C">
        <w:t xml:space="preserve">voor de plaatsingsprocedure </w:t>
      </w:r>
      <w:r w:rsidRPr="00CA7A8C">
        <w:t>voornamelijk beroep gedaan op e-Procurement en andere toepassingen aangeboden door de FOD BOSA.</w:t>
      </w:r>
    </w:p>
    <w:p w14:paraId="4B5BA68A" w14:textId="77777777" w:rsidR="00437C23" w:rsidRPr="00CA7A8C" w:rsidRDefault="00437C23">
      <w:pPr>
        <w:pStyle w:val="Kop2"/>
      </w:pPr>
      <w:bookmarkStart w:id="8" w:name="_Toc135839926"/>
      <w:bookmarkStart w:id="9" w:name="_Toc150870530"/>
      <w:r w:rsidRPr="00CA7A8C">
        <w:lastRenderedPageBreak/>
        <w:t>Wat zegt de reglementering overheidsopdrachten?</w:t>
      </w:r>
      <w:bookmarkEnd w:id="8"/>
      <w:bookmarkEnd w:id="9"/>
    </w:p>
    <w:p w14:paraId="0131B761" w14:textId="6EB1D665" w:rsidR="006D099B" w:rsidRPr="00CA7A8C" w:rsidRDefault="006D099B" w:rsidP="006D099B">
      <w:r w:rsidRPr="00CA7A8C">
        <w:t xml:space="preserve">Artikel 14 van de wet van </w:t>
      </w:r>
      <w:hyperlink r:id="rId40" w:history="1">
        <w:r w:rsidRPr="00CA7A8C">
          <w:rPr>
            <w:rStyle w:val="Hyperlink"/>
            <w:rFonts w:eastAsia="Segoe UI" w:cs="Segoe UI"/>
          </w:rPr>
          <w:t>17 juni 2016</w:t>
        </w:r>
      </w:hyperlink>
      <w:r w:rsidRPr="00CA7A8C">
        <w:t xml:space="preserve"> stelt dat de communicatie en de informatie-uitwisseling tussen de aanbesteder en de ondernemers, met inbegrip van de elektronische indiening en ontvangst van de offertes, </w:t>
      </w:r>
      <w:r w:rsidRPr="00CA7A8C">
        <w:rPr>
          <w:rFonts w:eastAsia="Segoe UI" w:cs="Segoe UI"/>
          <w:b/>
          <w:bCs/>
        </w:rPr>
        <w:t>in alle fasen</w:t>
      </w:r>
      <w:r w:rsidRPr="00CA7A8C">
        <w:rPr>
          <w:rFonts w:ascii="Segoe UI" w:eastAsia="Segoe UI" w:hAnsi="Segoe UI" w:cs="Segoe UI"/>
          <w:b/>
          <w:bCs/>
        </w:rPr>
        <w:t xml:space="preserve"> </w:t>
      </w:r>
      <w:r w:rsidRPr="00D84066">
        <w:rPr>
          <w:b/>
          <w:bCs/>
        </w:rPr>
        <w:t>van de plaatsingsprocedure</w:t>
      </w:r>
      <w:r w:rsidRPr="00D84066">
        <w:t xml:space="preserve"> dient plaats te vinden met behulp van elektronische communicatiemiddelen</w:t>
      </w:r>
      <w:r w:rsidRPr="00CA7A8C">
        <w:t>. Dat tenzij in een aantal uitzonderlijke gevallen zoals bijvoorbeeld wanneer wegens de gespecialiseerde aard van de overheidsopdracht, voor het gebruik van elektronische communicatiemiddelen niet algemeen beschikbare gespecialiseerde instrumenten, middelen of bestandsformaten nodig zijn.</w:t>
      </w:r>
      <w:r w:rsidR="003D745F" w:rsidRPr="00CA7A8C">
        <w:t xml:space="preserve"> </w:t>
      </w:r>
    </w:p>
    <w:p w14:paraId="6B54BE4E" w14:textId="2ACEF281" w:rsidR="006D099B" w:rsidRPr="00CA7A8C" w:rsidRDefault="006D099B" w:rsidP="006D099B">
      <w:r w:rsidRPr="00CA7A8C">
        <w:t xml:space="preserve">De </w:t>
      </w:r>
      <w:r w:rsidRPr="00CA7A8C">
        <w:rPr>
          <w:b/>
          <w:bCs/>
        </w:rPr>
        <w:t>meest gekende en toegepaste uitzondering</w:t>
      </w:r>
      <w:r w:rsidRPr="00CA7A8C">
        <w:t>, namelijk diegene voor een opdracht die wordt geplaatst met een onderhandelingsprocedure zonder voorafgaande bekendmaking (OPZB) of een oproep tot mededinging</w:t>
      </w:r>
      <w:r w:rsidR="003D745F" w:rsidRPr="00CA7A8C">
        <w:t xml:space="preserve"> </w:t>
      </w:r>
      <w:r w:rsidRPr="00CA7A8C">
        <w:t xml:space="preserve">en waarvan de geraamde waarde lager is dan de drempel voor de Europese bekendmaking, </w:t>
      </w:r>
      <w:r w:rsidRPr="00CA7A8C">
        <w:rPr>
          <w:b/>
          <w:bCs/>
        </w:rPr>
        <w:t>werd opgeheven</w:t>
      </w:r>
      <w:r w:rsidRPr="00CA7A8C">
        <w:t xml:space="preserve"> en is niet langer van kracht sinds 1 september 2023.</w:t>
      </w:r>
      <w:r w:rsidR="003D745F" w:rsidRPr="00CA7A8C">
        <w:t xml:space="preserve"> </w:t>
      </w:r>
    </w:p>
    <w:p w14:paraId="2D15ADC6" w14:textId="4C9CD95B" w:rsidR="006D099B" w:rsidRPr="00CA7A8C" w:rsidRDefault="006D099B" w:rsidP="006D099B">
      <w:r w:rsidRPr="00CA7A8C">
        <w:t>De aanbesteder die het gebruik van andere dan elektronische communicatiemiddelen vereist of toelaat, geeft hiervan de redenen op.</w:t>
      </w:r>
      <w:r w:rsidR="003D745F" w:rsidRPr="00CA7A8C">
        <w:t xml:space="preserve"> </w:t>
      </w:r>
    </w:p>
    <w:p w14:paraId="33B8587A" w14:textId="384B5652" w:rsidR="006D099B" w:rsidRPr="00CA7A8C" w:rsidRDefault="006D099B" w:rsidP="006D099B">
      <w:r w:rsidRPr="00CA7A8C">
        <w:rPr>
          <w:b/>
          <w:bCs/>
        </w:rPr>
        <w:t>Mondelinge</w:t>
      </w:r>
      <w:r w:rsidRPr="00CA7A8C">
        <w:t xml:space="preserve"> </w:t>
      </w:r>
      <w:r w:rsidRPr="00CA7A8C">
        <w:rPr>
          <w:b/>
          <w:bCs/>
        </w:rPr>
        <w:t>communicatie</w:t>
      </w:r>
      <w:r w:rsidRPr="00CA7A8C">
        <w:t xml:space="preserve"> is toegestaan voor andere mededelingen dan die betreffende de essentiële elementen van de plaatsingsprocedure, mits de inhoud van de mondelinge communicatie voldoende gedocumenteerd wordt. Met name de opdrachtdocumenten, de aanvragen tot deelneming en de offertes worden, in dit verband, geacht deel uit te maken van de voormelde essentiële elementen.</w:t>
      </w:r>
      <w:r w:rsidR="003D745F" w:rsidRPr="00CA7A8C">
        <w:t xml:space="preserve"> </w:t>
      </w:r>
      <w:r w:rsidRPr="00CA7A8C">
        <w:t xml:space="preserve"> </w:t>
      </w:r>
    </w:p>
    <w:p w14:paraId="4227081A" w14:textId="78579CA7" w:rsidR="006D099B" w:rsidRDefault="006D099B" w:rsidP="006D099B">
      <w:r w:rsidRPr="00CA7A8C">
        <w:t>Die bepaling belet geenszins dat</w:t>
      </w:r>
      <w:r w:rsidRPr="00E84574">
        <w:t xml:space="preserve"> informatiesessies worden georganiseerd waarin mondelinge communicatie gebruikt wordt voor het </w:t>
      </w:r>
      <w:r w:rsidRPr="00BA4BB6">
        <w:rPr>
          <w:b/>
          <w:bCs/>
        </w:rPr>
        <w:t>verstrekken van toelichtingen</w:t>
      </w:r>
      <w:r w:rsidRPr="00E84574">
        <w:t xml:space="preserve"> in verband met de opdrachtdocumenten, mits de inhoud van deze mondelinge communicatie voldoende gedocumenteerd wordt en geen informatie </w:t>
      </w:r>
      <w:r w:rsidR="008E4987" w:rsidRPr="00E84574">
        <w:t xml:space="preserve">verspreid </w:t>
      </w:r>
      <w:r w:rsidRPr="00E84574">
        <w:t>wordt die niet reeds in de opdrachtdocumenten is aangegeven. Deze documentatie wordt verspreid naar alle belangstellenden toe.</w:t>
      </w:r>
      <w:r>
        <w:t xml:space="preserve"> Zie </w:t>
      </w:r>
      <w:r w:rsidRPr="00CA7A8C">
        <w:t>ook principe 2 voor</w:t>
      </w:r>
      <w:r>
        <w:t xml:space="preserve"> meer duiding over informatiesessies. </w:t>
      </w:r>
    </w:p>
    <w:p w14:paraId="6E6EA7BB" w14:textId="0E1770C5" w:rsidR="006D099B" w:rsidRDefault="00F76D00" w:rsidP="006D099B">
      <w:r>
        <w:t>Concreet</w:t>
      </w:r>
      <w:r w:rsidR="006D099B">
        <w:t xml:space="preserve"> wordt er voor de elektronische behandeling van overheidsopdrachten gebruik gemaakt van elektronische platformen zoals e-Procurement beheerd door de FOD BOSA. Het gebruik van dat laatste platform is verplicht voor (onder meer) de federale aanbesteders. </w:t>
      </w:r>
    </w:p>
    <w:p w14:paraId="2625AC6B" w14:textId="77777777" w:rsidR="006D099B" w:rsidRDefault="006D099B" w:rsidP="006D099B">
      <w:r w:rsidRPr="00FC59E0">
        <w:t xml:space="preserve">Voor de plaatsingsprocedures waarbij de aanbestedende overheid gebruik maakt van </w:t>
      </w:r>
      <w:r>
        <w:t xml:space="preserve">de hierboven vermelde elektronische platformen wordt een </w:t>
      </w:r>
      <w:r w:rsidRPr="00AF29A4">
        <w:rPr>
          <w:b/>
          <w:bCs/>
        </w:rPr>
        <w:t>elektronisch</w:t>
      </w:r>
      <w:r>
        <w:t xml:space="preserve"> </w:t>
      </w:r>
      <w:r w:rsidRPr="00183B90">
        <w:rPr>
          <w:b/>
          <w:bCs/>
        </w:rPr>
        <w:t>proces-verbaal</w:t>
      </w:r>
      <w:r>
        <w:t xml:space="preserve"> van de opening van de offertes gecreëerd met de daarin door de wetgeving gevraagde elementen, waaronder het ondernemingsnummer van de desbetreffende ondernemingen</w:t>
      </w:r>
      <w:r w:rsidRPr="00BB0148">
        <w:t>.</w:t>
      </w:r>
    </w:p>
    <w:p w14:paraId="0E54458A" w14:textId="77777777" w:rsidR="006D099B" w:rsidRPr="00FC59E0" w:rsidRDefault="006D099B" w:rsidP="006D099B">
      <w:r w:rsidRPr="00EE58E5">
        <w:t xml:space="preserve">Het </w:t>
      </w:r>
      <w:hyperlink r:id="rId41" w:history="1">
        <w:r w:rsidRPr="00EE58E5">
          <w:rPr>
            <w:rStyle w:val="Hyperlink"/>
            <w:rFonts w:eastAsia="Segoe UI" w:cs="Segoe UI"/>
          </w:rPr>
          <w:t>federale aankoopbeleid</w:t>
        </w:r>
      </w:hyperlink>
      <w:r w:rsidRPr="00EE58E5">
        <w:t xml:space="preserve"> en het </w:t>
      </w:r>
      <w:hyperlink r:id="rId42" w:history="1">
        <w:r w:rsidRPr="00EE58E5">
          <w:rPr>
            <w:rStyle w:val="Hyperlink"/>
            <w:rFonts w:eastAsia="Segoe UI" w:cs="Segoe UI"/>
          </w:rPr>
          <w:t>netwerk van Strategisch Federaal Aankoopoverleg</w:t>
        </w:r>
      </w:hyperlink>
      <w:r w:rsidRPr="00EE58E5">
        <w:t xml:space="preserve"> (SFA)</w:t>
      </w:r>
      <w:r>
        <w:t xml:space="preserve"> ondersteunen eveneens ten volle</w:t>
      </w:r>
      <w:r w:rsidRPr="000E0799">
        <w:t xml:space="preserve"> de dematerialisering van overheidsopdrachten </w:t>
      </w:r>
      <w:r>
        <w:t>via een maximale toepassing van de elektronische middelen ter beschikking gesteld door de FOD BOSA</w:t>
      </w:r>
      <w:r w:rsidRPr="000E0799">
        <w:t>.</w:t>
      </w:r>
      <w:r>
        <w:t xml:space="preserve"> Bovendien wordt een monitoring van de federale overheidsopdrachten voorzien die verder gaat dan hetgeen gevraagd wordt door de reglementering – en dat onder meer in het kader van een monitoring van de toepassing van dit charter. </w:t>
      </w:r>
    </w:p>
    <w:p w14:paraId="51FC693E" w14:textId="15BB921B" w:rsidR="006D099B" w:rsidRPr="00BB033B" w:rsidRDefault="006D099B" w:rsidP="006D099B">
      <w:pPr>
        <w:rPr>
          <w:color w:val="0078D4"/>
        </w:rPr>
      </w:pPr>
      <w:r>
        <w:t xml:space="preserve">Artikel 14/1 van dezelfde wet vereist dat </w:t>
      </w:r>
      <w:r w:rsidRPr="00402D18">
        <w:t xml:space="preserve">ondernemers hun </w:t>
      </w:r>
      <w:r w:rsidRPr="00402D18">
        <w:rPr>
          <w:b/>
          <w:bCs/>
        </w:rPr>
        <w:t>facturen</w:t>
      </w:r>
      <w:r w:rsidRPr="00402D18">
        <w:t xml:space="preserve"> elektronisch naar de aanbesteders versturen. </w:t>
      </w:r>
      <w:r w:rsidR="00460B12">
        <w:t>Aanbesteders</w:t>
      </w:r>
      <w:r w:rsidRPr="00402D18">
        <w:t xml:space="preserve"> vermelden d</w:t>
      </w:r>
      <w:r w:rsidR="00460B12">
        <w:t>i</w:t>
      </w:r>
      <w:r w:rsidRPr="00402D18">
        <w:t xml:space="preserve">e verplichting in de opdrachtdocumenten. De belangrijkste uitzondering is </w:t>
      </w:r>
      <w:r w:rsidR="003E50D4">
        <w:t xml:space="preserve">die </w:t>
      </w:r>
      <w:r w:rsidRPr="00402D18">
        <w:t xml:space="preserve">voor opdrachten waarvan het geraamde bedrag lager of gelijk is aan het bedrag bepaald door </w:t>
      </w:r>
      <w:r>
        <w:t xml:space="preserve">het koninklijk besluit </w:t>
      </w:r>
      <w:r w:rsidRPr="00EE58E5">
        <w:t xml:space="preserve">van </w:t>
      </w:r>
      <w:hyperlink r:id="rId43" w:history="1">
        <w:r w:rsidRPr="00EE58E5">
          <w:rPr>
            <w:rStyle w:val="Hyperlink"/>
            <w:rFonts w:eastAsia="Segoe UI" w:cs="Segoe UI"/>
          </w:rPr>
          <w:t>9 maart 2022</w:t>
        </w:r>
      </w:hyperlink>
      <w:r>
        <w:t xml:space="preserve"> inzake elektronische facturering bij overheidsopdrachten</w:t>
      </w:r>
      <w:r w:rsidRPr="00402D18">
        <w:t xml:space="preserve">. </w:t>
      </w:r>
    </w:p>
    <w:p w14:paraId="5B5E4C82" w14:textId="77777777" w:rsidR="006D099B" w:rsidRDefault="006D099B" w:rsidP="006D099B">
      <w:r>
        <w:t>Aanvullend stelt de reglementering overheidsopdrachten dat:</w:t>
      </w:r>
    </w:p>
    <w:p w14:paraId="4BAA0106" w14:textId="77777777" w:rsidR="006D099B" w:rsidRPr="00B77F2A" w:rsidRDefault="006D099B" w:rsidP="00EE58E5">
      <w:pPr>
        <w:pStyle w:val="Bullet1"/>
        <w:rPr>
          <w:lang w:val="nl-BE"/>
        </w:rPr>
      </w:pPr>
      <w:r w:rsidRPr="00B77F2A">
        <w:rPr>
          <w:lang w:val="nl-BE"/>
        </w:rPr>
        <w:t xml:space="preserve">behoudens andersluidende bepaling in de opdrachtdocumenten, het indieningsrapport ondertekend moet worden door middel van een gekwalificeerde </w:t>
      </w:r>
      <w:r w:rsidRPr="00B77F2A">
        <w:rPr>
          <w:b/>
          <w:bCs/>
          <w:lang w:val="nl-BE"/>
        </w:rPr>
        <w:t>elektronische</w:t>
      </w:r>
      <w:r w:rsidRPr="00B77F2A">
        <w:rPr>
          <w:lang w:val="nl-BE"/>
        </w:rPr>
        <w:t xml:space="preserve"> </w:t>
      </w:r>
      <w:r w:rsidRPr="00B77F2A">
        <w:rPr>
          <w:b/>
          <w:bCs/>
          <w:lang w:val="nl-BE"/>
        </w:rPr>
        <w:t>handtekening</w:t>
      </w:r>
      <w:r w:rsidRPr="00B77F2A">
        <w:rPr>
          <w:lang w:val="nl-BE"/>
        </w:rPr>
        <w:t xml:space="preserve">; </w:t>
      </w:r>
    </w:p>
    <w:p w14:paraId="40F22551" w14:textId="77777777" w:rsidR="0030003C" w:rsidRPr="00CB41D4" w:rsidRDefault="0030003C" w:rsidP="0030003C">
      <w:pPr>
        <w:pStyle w:val="Bullet1"/>
        <w:rPr>
          <w:lang w:val="nl-BE"/>
        </w:rPr>
      </w:pPr>
      <w:r w:rsidRPr="00B77F2A">
        <w:rPr>
          <w:lang w:val="nl-BE"/>
        </w:rPr>
        <w:t xml:space="preserve">de aanbestedende overheden die nog niet over een toegang tot </w:t>
      </w:r>
      <w:r w:rsidRPr="00B77F2A">
        <w:rPr>
          <w:b/>
          <w:bCs/>
          <w:lang w:val="nl-BE"/>
        </w:rPr>
        <w:t>Telemarc</w:t>
      </w:r>
      <w:r w:rsidRPr="00B77F2A">
        <w:rPr>
          <w:lang w:val="nl-BE"/>
        </w:rPr>
        <w:t xml:space="preserve"> beschikken, </w:t>
      </w:r>
      <w:r>
        <w:rPr>
          <w:lang w:val="nl-BE"/>
        </w:rPr>
        <w:t>die toegang</w:t>
      </w:r>
      <w:r w:rsidRPr="00B77F2A">
        <w:rPr>
          <w:lang w:val="nl-BE"/>
        </w:rPr>
        <w:t xml:space="preserve"> aanvragen bij de Dienst voor Administratieve Vereenvoudiging (DAV). </w:t>
      </w:r>
      <w:r w:rsidRPr="00CB41D4">
        <w:rPr>
          <w:lang w:val="nl-BE"/>
        </w:rPr>
        <w:t>Ter herinnering:</w:t>
      </w:r>
    </w:p>
    <w:p w14:paraId="248E7C81" w14:textId="77777777" w:rsidR="0030003C" w:rsidRPr="00B77F2A" w:rsidRDefault="0030003C" w:rsidP="0030003C">
      <w:pPr>
        <w:pStyle w:val="Bullet3"/>
        <w:rPr>
          <w:lang w:val="nl-BE"/>
        </w:rPr>
      </w:pPr>
      <w:r w:rsidRPr="00B77F2A">
        <w:rPr>
          <w:lang w:val="nl-BE"/>
        </w:rPr>
        <w:t>die verplichting geldt reeds sinds 1 mei 2018;</w:t>
      </w:r>
    </w:p>
    <w:p w14:paraId="094B1FCF" w14:textId="77777777" w:rsidR="0030003C" w:rsidRPr="00B77F2A" w:rsidRDefault="0030003C" w:rsidP="0030003C">
      <w:pPr>
        <w:pStyle w:val="Bullet3"/>
        <w:rPr>
          <w:lang w:val="nl-BE"/>
        </w:rPr>
      </w:pPr>
      <w:r w:rsidRPr="00B77F2A">
        <w:rPr>
          <w:lang w:val="nl-BE"/>
        </w:rPr>
        <w:t xml:space="preserve">de DAV werd geïntegreerd in de DG Vereenvoudiging en Digitalisering van de FOD BOSA. </w:t>
      </w:r>
    </w:p>
    <w:p w14:paraId="53F62F4D" w14:textId="77777777" w:rsidR="006D099B" w:rsidRPr="00B77F2A" w:rsidRDefault="006D099B" w:rsidP="00EE58E5">
      <w:pPr>
        <w:pStyle w:val="Bullet1"/>
        <w:rPr>
          <w:lang w:val="nl-BE"/>
        </w:rPr>
      </w:pPr>
      <w:r w:rsidRPr="00B77F2A">
        <w:rPr>
          <w:lang w:val="nl-BE"/>
        </w:rPr>
        <w:t xml:space="preserve">aanbestedende overheden gebruik maken van de onlinedatabank van certificaten </w:t>
      </w:r>
      <w:r w:rsidRPr="00B77F2A">
        <w:rPr>
          <w:b/>
          <w:bCs/>
          <w:lang w:val="nl-BE"/>
        </w:rPr>
        <w:t>eCertis</w:t>
      </w:r>
      <w:r w:rsidRPr="00B77F2A">
        <w:rPr>
          <w:lang w:val="nl-BE"/>
        </w:rPr>
        <w:t>;</w:t>
      </w:r>
    </w:p>
    <w:p w14:paraId="0189FBD3" w14:textId="6C5A9E50" w:rsidR="00BE071C" w:rsidRPr="00B77F2A" w:rsidRDefault="006D099B" w:rsidP="00437C23">
      <w:pPr>
        <w:pStyle w:val="Bullet1"/>
        <w:rPr>
          <w:lang w:val="nl-BE"/>
        </w:rPr>
      </w:pPr>
      <w:r w:rsidRPr="00B77F2A">
        <w:rPr>
          <w:lang w:val="nl-BE"/>
        </w:rPr>
        <w:lastRenderedPageBreak/>
        <w:t>indien een opdrachtnemer het vraagt, hij kosteloos en zo mogelijk op elektronische wijze een volledig stel kopijen ontvangt van de plannen die als basis voor de gunning van de opdracht hebben gediend. De aanbesteder is verantwoordelijk voor de overeenstemming van de kopijen met de oorspronkelijke plannen.</w:t>
      </w:r>
    </w:p>
    <w:p w14:paraId="21EFE079" w14:textId="77777777" w:rsidR="00437C23" w:rsidRDefault="00437C23">
      <w:pPr>
        <w:pStyle w:val="Kop2"/>
      </w:pPr>
      <w:bookmarkStart w:id="10" w:name="_Toc135839927"/>
      <w:bookmarkStart w:id="11" w:name="_Toc150870531"/>
      <w:r>
        <w:t>Toelichting</w:t>
      </w:r>
      <w:bookmarkEnd w:id="10"/>
      <w:bookmarkEnd w:id="11"/>
    </w:p>
    <w:p w14:paraId="46149179" w14:textId="448FB808" w:rsidR="00213F05" w:rsidRPr="00A32613" w:rsidRDefault="00213F05" w:rsidP="00213F05">
      <w:pPr>
        <w:pStyle w:val="Kop3"/>
        <w:rPr>
          <w:rFonts w:eastAsia="Segoe UI"/>
        </w:rPr>
      </w:pPr>
      <w:bookmarkStart w:id="12" w:name="_Toc135839928"/>
      <w:bookmarkStart w:id="13" w:name="_Toc150870532"/>
      <w:r>
        <w:rPr>
          <w:rFonts w:eastAsia="Segoe UI"/>
        </w:rPr>
        <w:t>Het gebruik van elektronische communicatiemiddelen</w:t>
      </w:r>
      <w:bookmarkEnd w:id="12"/>
      <w:bookmarkEnd w:id="13"/>
    </w:p>
    <w:p w14:paraId="1E1DBA2F" w14:textId="77777777" w:rsidR="00213F05" w:rsidRPr="00213F05" w:rsidRDefault="00213F05" w:rsidP="00213F05">
      <w:r w:rsidRPr="00213F05">
        <w:t>Het gebruik van elektronische communicatiemiddelen wordt verantwoord door het feit dat het</w:t>
      </w:r>
      <w:r w:rsidRPr="00213F05">
        <w:rPr>
          <w:i/>
          <w:iCs/>
        </w:rPr>
        <w:t xml:space="preserve"> </w:t>
      </w:r>
      <w:r w:rsidRPr="00213F05">
        <w:t xml:space="preserve">de efficiëntie en transparantie van plaatsingsprocedures ten goede komt, en dat via een verminderde administratieve werklast en een besparing van tijd en kosten. Daarnaast wordt de mogelijkheid voor ondernemingen om op de hoogte blijven van (nieuwe) overheidsopdrachten en om hun aanvraag tot deelneming te stellen of een offerte in te dienen, sterk vergroot, wat eveneens de mededinging bevordert. </w:t>
      </w:r>
    </w:p>
    <w:p w14:paraId="757C4DC6" w14:textId="5143156F" w:rsidR="00213F05" w:rsidRPr="00213F05" w:rsidRDefault="00213F05" w:rsidP="00213F05">
      <w:r w:rsidRPr="00213F05">
        <w:t>Bovendien is er een gevoelige impact op het vlak van duurzame ontwikkeling, in de zin dat een algemeen gebruik van elektronische middelen in de vorm van bijvoorbeeld e-Procurement, het papierverbruik in het aankoopproces sterk doet dalen, zowel bij de aanbesteder als bij de kandidaten en inschrijvers. Ook leidt d</w:t>
      </w:r>
      <w:r w:rsidR="0096556C">
        <w:t>a</w:t>
      </w:r>
      <w:r w:rsidRPr="00213F05">
        <w:t xml:space="preserve">t tot een sterke </w:t>
      </w:r>
      <w:r w:rsidR="00CF6071">
        <w:t>daling</w:t>
      </w:r>
      <w:r w:rsidR="00CF6071" w:rsidRPr="00213F05">
        <w:t xml:space="preserve"> </w:t>
      </w:r>
      <w:r w:rsidRPr="00213F05">
        <w:t>van de port- en transportkosten.</w:t>
      </w:r>
    </w:p>
    <w:p w14:paraId="3CC0A7AE" w14:textId="485A9F0D" w:rsidR="00213F05" w:rsidRPr="00E40EE2" w:rsidRDefault="00213F05" w:rsidP="00213F05">
      <w:r w:rsidRPr="00213F05">
        <w:t xml:space="preserve">Het moet dus worden benadrukt dat in alle fasen van de </w:t>
      </w:r>
      <w:r w:rsidRPr="002158FB">
        <w:rPr>
          <w:b/>
          <w:bCs/>
        </w:rPr>
        <w:t>plaatsingsprocedure</w:t>
      </w:r>
      <w:r w:rsidRPr="00213F05">
        <w:t xml:space="preserve"> het gebruik van elektronische communicatiemiddelen van toepassing is (behoudens de voorziene uitzondering</w:t>
      </w:r>
      <w:r w:rsidR="00054282">
        <w:t>e</w:t>
      </w:r>
      <w:r w:rsidRPr="00213F05">
        <w:t>n). Dat zorgt ervoor dat de plaatsing van overheidsopdrachten, in zekere mate, gedematerialiseerd is.</w:t>
      </w:r>
    </w:p>
    <w:p w14:paraId="094BE20C" w14:textId="56571A71" w:rsidR="00752B99" w:rsidRDefault="00213F05" w:rsidP="00213F05">
      <w:r w:rsidRPr="001A3149">
        <w:t xml:space="preserve">Voor alle duidelijkheid, de verplichtingen op het vlak van het gebruik van elektronische communicatiemiddelen, zijn alleen van toepassing op de communicatie en de informatie-uitwisseling tussen de aanbesteder enerzijds en de ondernemers anderzijds. Op de interne communicatie </w:t>
      </w:r>
      <w:r w:rsidR="00F84766">
        <w:t>bij</w:t>
      </w:r>
      <w:r w:rsidR="00F84766" w:rsidRPr="001A3149">
        <w:t xml:space="preserve"> </w:t>
      </w:r>
      <w:r w:rsidRPr="001A3149">
        <w:t xml:space="preserve">de aanbesteder is de verplichting met andere woorden niet van toepassing. </w:t>
      </w:r>
    </w:p>
    <w:p w14:paraId="46BB3EB9" w14:textId="102E9BCE" w:rsidR="00213F05" w:rsidRDefault="00894622" w:rsidP="00213F05">
      <w:r>
        <w:t>Een</w:t>
      </w:r>
      <w:r w:rsidRPr="001A3149">
        <w:t xml:space="preserve"> </w:t>
      </w:r>
      <w:r w:rsidR="00F84766">
        <w:t xml:space="preserve">wettelijke </w:t>
      </w:r>
      <w:r w:rsidR="00213F05" w:rsidRPr="001A3149">
        <w:t>verplichting is evenmin van toepassing</w:t>
      </w:r>
      <w:r w:rsidR="00213F05">
        <w:t xml:space="preserve"> op</w:t>
      </w:r>
      <w:r w:rsidR="00213F05" w:rsidRPr="001A3149">
        <w:t xml:space="preserve"> </w:t>
      </w:r>
      <w:r w:rsidR="00213F05" w:rsidRPr="00EC6B24">
        <w:rPr>
          <w:i/>
          <w:iCs/>
        </w:rPr>
        <w:t>alle</w:t>
      </w:r>
      <w:r w:rsidR="00213F05" w:rsidRPr="001A3149">
        <w:t xml:space="preserve"> onderdelen van de procedure na de gunning van de overheidsopdracht</w:t>
      </w:r>
      <w:r w:rsidR="00213F05">
        <w:t>, maar wel bijvoorbeeld op het aspect “facturatie”</w:t>
      </w:r>
      <w:r w:rsidR="00213F05" w:rsidRPr="001A3149">
        <w:t>.</w:t>
      </w:r>
      <w:r w:rsidR="00213F05">
        <w:t xml:space="preserve"> Gezien de algemene tendens naar een steeds verdere digitalisering, kan op termijn een quasi-volledig gedigitaliseerd proces (inclusief de fasen na gunning) vooropgesteld worden.</w:t>
      </w:r>
      <w:r w:rsidR="00213F05" w:rsidRPr="001A3149">
        <w:t xml:space="preserve"> </w:t>
      </w:r>
    </w:p>
    <w:p w14:paraId="1862160D" w14:textId="3F879A8D" w:rsidR="00213F05" w:rsidRPr="00BB033B" w:rsidRDefault="00213F05" w:rsidP="00213F05">
      <w:pPr>
        <w:rPr>
          <w:color w:val="000000" w:themeColor="text1"/>
        </w:rPr>
      </w:pPr>
      <w:r w:rsidRPr="253985A4">
        <w:rPr>
          <w:color w:val="000000" w:themeColor="text1"/>
        </w:rPr>
        <w:t>Concreet betekent d</w:t>
      </w:r>
      <w:r>
        <w:rPr>
          <w:color w:val="000000" w:themeColor="text1"/>
        </w:rPr>
        <w:t>i</w:t>
      </w:r>
      <w:r w:rsidRPr="253985A4">
        <w:rPr>
          <w:color w:val="000000" w:themeColor="text1"/>
        </w:rPr>
        <w:t xml:space="preserve">t dat het </w:t>
      </w:r>
      <w:r w:rsidR="002266A9">
        <w:rPr>
          <w:color w:val="000000" w:themeColor="text1"/>
        </w:rPr>
        <w:t xml:space="preserve">verplichte </w:t>
      </w:r>
      <w:r w:rsidRPr="253985A4">
        <w:rPr>
          <w:color w:val="000000" w:themeColor="text1"/>
        </w:rPr>
        <w:t>gebruik van elektronische communicatiemiddelen tussen de aanbesteder en de ondernemers</w:t>
      </w:r>
      <w:r>
        <w:rPr>
          <w:color w:val="000000" w:themeColor="text1"/>
        </w:rPr>
        <w:t xml:space="preserve"> vandaag</w:t>
      </w:r>
      <w:r w:rsidRPr="253985A4">
        <w:rPr>
          <w:color w:val="000000" w:themeColor="text1"/>
        </w:rPr>
        <w:t xml:space="preserve"> van toepassing is op:</w:t>
      </w:r>
      <w:r w:rsidRPr="253985A4">
        <w:rPr>
          <w:color w:val="0078D4"/>
          <w:u w:val="single"/>
        </w:rPr>
        <w:t xml:space="preserve"> </w:t>
      </w:r>
    </w:p>
    <w:p w14:paraId="05F4B835" w14:textId="0D61042F" w:rsidR="00213F05" w:rsidRPr="00B77F2A" w:rsidRDefault="00213F05" w:rsidP="00DD4D3E">
      <w:pPr>
        <w:pStyle w:val="Bullet1"/>
        <w:rPr>
          <w:lang w:val="nl-BE"/>
        </w:rPr>
      </w:pPr>
      <w:r w:rsidRPr="00B77F2A">
        <w:rPr>
          <w:lang w:val="nl-BE"/>
        </w:rPr>
        <w:t>het aankondigen van een opdracht voor de opdrachten die onderworpen zijn aan de bekendmakingsregels. Het betreft de oproep die wordt gedaan naar elke belangstellende ondernemer om, naargelang de procedure, een aanvraag tot deelneming of een offerte in te dienen;</w:t>
      </w:r>
    </w:p>
    <w:p w14:paraId="184B87AC" w14:textId="77777777" w:rsidR="00213F05" w:rsidRPr="00B77F2A" w:rsidRDefault="00213F05" w:rsidP="00DD4D3E">
      <w:pPr>
        <w:pStyle w:val="Bullet1"/>
        <w:rPr>
          <w:lang w:val="nl-BE"/>
        </w:rPr>
      </w:pPr>
      <w:r w:rsidRPr="00B77F2A">
        <w:rPr>
          <w:lang w:val="nl-BE"/>
        </w:rPr>
        <w:t xml:space="preserve">het plaatsen van een opdracht </w:t>
      </w:r>
      <w:r w:rsidRPr="00441850">
        <w:rPr>
          <w:lang w:val="nl-BE"/>
        </w:rPr>
        <w:t xml:space="preserve">door middel van </w:t>
      </w:r>
      <w:r>
        <w:rPr>
          <w:lang w:val="nl-BE"/>
        </w:rPr>
        <w:t xml:space="preserve">een </w:t>
      </w:r>
      <w:r w:rsidRPr="00441850">
        <w:rPr>
          <w:lang w:val="nl-BE"/>
        </w:rPr>
        <w:t>onderhandelingsprocedure zonder voorafgaande bekendmaking of</w:t>
      </w:r>
      <w:r>
        <w:rPr>
          <w:lang w:val="nl-BE"/>
        </w:rPr>
        <w:t xml:space="preserve"> een</w:t>
      </w:r>
      <w:r w:rsidRPr="00441850">
        <w:rPr>
          <w:lang w:val="nl-BE"/>
        </w:rPr>
        <w:t xml:space="preserve"> oproep tot mededinging</w:t>
      </w:r>
      <w:r>
        <w:rPr>
          <w:lang w:val="nl-BE"/>
        </w:rPr>
        <w:t>;</w:t>
      </w:r>
    </w:p>
    <w:p w14:paraId="24A090BA" w14:textId="77777777" w:rsidR="00213F05" w:rsidRPr="00B77F2A" w:rsidRDefault="00213F05" w:rsidP="00DD4D3E">
      <w:pPr>
        <w:pStyle w:val="Bullet1"/>
        <w:rPr>
          <w:lang w:val="nl-BE"/>
        </w:rPr>
      </w:pPr>
      <w:r w:rsidRPr="00B77F2A">
        <w:rPr>
          <w:lang w:val="nl-BE"/>
        </w:rPr>
        <w:t>het ontvangen van aanvragen tot deelneming. Dat heeft betrekking op de tweefasige procedures;</w:t>
      </w:r>
    </w:p>
    <w:p w14:paraId="3EDCEEBC" w14:textId="77777777" w:rsidR="00213F05" w:rsidRPr="00B77F2A" w:rsidRDefault="00213F05" w:rsidP="00DD4D3E">
      <w:pPr>
        <w:pStyle w:val="Bullet1"/>
        <w:rPr>
          <w:lang w:val="nl-BE"/>
        </w:rPr>
      </w:pPr>
      <w:r w:rsidRPr="00B77F2A">
        <w:rPr>
          <w:lang w:val="nl-BE"/>
        </w:rPr>
        <w:t>het uitnodigen door de aanbesteder van de geselecteerde of gekozen kandidaten om een offerte in te dienen;</w:t>
      </w:r>
    </w:p>
    <w:p w14:paraId="3CBF80DB" w14:textId="5EF495C3" w:rsidR="00213F05" w:rsidRPr="00084649" w:rsidRDefault="00213F05" w:rsidP="00DD4D3E">
      <w:pPr>
        <w:pStyle w:val="Bullet1"/>
        <w:rPr>
          <w:lang w:val="nl-BE"/>
        </w:rPr>
      </w:pPr>
      <w:r w:rsidRPr="00084649">
        <w:rPr>
          <w:lang w:val="nl-BE"/>
        </w:rPr>
        <w:t>het ontvangen van offertes;</w:t>
      </w:r>
    </w:p>
    <w:p w14:paraId="19BF343E" w14:textId="77777777" w:rsidR="00213F05" w:rsidRPr="00B77F2A" w:rsidRDefault="00213F05" w:rsidP="00DD4D3E">
      <w:pPr>
        <w:pStyle w:val="Bullet1"/>
        <w:rPr>
          <w:lang w:val="nl-BE"/>
        </w:rPr>
      </w:pPr>
      <w:r w:rsidRPr="00B77F2A">
        <w:rPr>
          <w:lang w:val="nl-BE"/>
        </w:rPr>
        <w:t>de communicatie tussen aanbesteder en inschrijvers tijdens de onderhandelingen;</w:t>
      </w:r>
    </w:p>
    <w:p w14:paraId="5743EA77" w14:textId="77777777" w:rsidR="00213F05" w:rsidRPr="00B77F2A" w:rsidRDefault="00213F05" w:rsidP="00DD4D3E">
      <w:pPr>
        <w:pStyle w:val="Bullet1"/>
        <w:rPr>
          <w:lang w:val="nl-BE"/>
        </w:rPr>
      </w:pPr>
      <w:r w:rsidRPr="00B77F2A">
        <w:rPr>
          <w:lang w:val="nl-BE"/>
        </w:rPr>
        <w:t>de sluiting van de opdracht die gebeurt door de kennisgeving van de goedkeuring van zijn offerte aan de opdrachtnemer;</w:t>
      </w:r>
    </w:p>
    <w:p w14:paraId="6386BD0E" w14:textId="4FC2B555" w:rsidR="00213F05" w:rsidRPr="00084649" w:rsidRDefault="00213F05" w:rsidP="00DD4D3E">
      <w:pPr>
        <w:pStyle w:val="Bullet1"/>
        <w:rPr>
          <w:lang w:val="nl-BE"/>
        </w:rPr>
      </w:pPr>
      <w:r w:rsidRPr="00084649">
        <w:rPr>
          <w:lang w:val="nl-BE"/>
        </w:rPr>
        <w:t xml:space="preserve">het facturatieproces.  </w:t>
      </w:r>
    </w:p>
    <w:p w14:paraId="430FBC85" w14:textId="7B41DD98" w:rsidR="00213F05" w:rsidRDefault="00213F05" w:rsidP="00213F05">
      <w:pPr>
        <w:rPr>
          <w:color w:val="000000" w:themeColor="text1"/>
        </w:rPr>
      </w:pPr>
      <w:r>
        <w:rPr>
          <w:color w:val="000000" w:themeColor="text1"/>
        </w:rPr>
        <w:t>In de praktijk is het mogelijk dat bestaande elektronische oplossingen (platformen) reeds verder gaan dan bovenstaande lijst en vrijwillig extra digitale toepassingen aanbieden, zoals bijvoorbeeld het vernieuwde e-Procurement dat doet</w:t>
      </w:r>
      <w:r w:rsidR="006C5210">
        <w:rPr>
          <w:color w:val="000000" w:themeColor="text1"/>
        </w:rPr>
        <w:t xml:space="preserve"> en gaat blijven doen</w:t>
      </w:r>
      <w:r>
        <w:rPr>
          <w:color w:val="000000" w:themeColor="text1"/>
        </w:rPr>
        <w:t xml:space="preserve"> – zie verder. </w:t>
      </w:r>
    </w:p>
    <w:p w14:paraId="61B50746" w14:textId="76A22F7D" w:rsidR="00F04151" w:rsidRDefault="00F04151" w:rsidP="00213F05">
      <w:pPr>
        <w:rPr>
          <w:color w:val="000000" w:themeColor="text1"/>
        </w:rPr>
      </w:pPr>
      <w:r>
        <w:rPr>
          <w:color w:val="000000" w:themeColor="text1"/>
        </w:rPr>
        <w:t xml:space="preserve">Gezien </w:t>
      </w:r>
      <w:r w:rsidR="00080D2C">
        <w:rPr>
          <w:color w:val="000000" w:themeColor="text1"/>
        </w:rPr>
        <w:t xml:space="preserve">de </w:t>
      </w:r>
      <w:r>
        <w:rPr>
          <w:color w:val="000000" w:themeColor="text1"/>
        </w:rPr>
        <w:t xml:space="preserve">voordelen is het aangewezen dat aanbesteders ook tijdens </w:t>
      </w:r>
      <w:r w:rsidRPr="00092317">
        <w:rPr>
          <w:b/>
          <w:bCs/>
          <w:color w:val="000000" w:themeColor="text1"/>
        </w:rPr>
        <w:t>de fase van de uitvoering</w:t>
      </w:r>
      <w:r w:rsidR="00886D32">
        <w:rPr>
          <w:color w:val="000000" w:themeColor="text1"/>
        </w:rPr>
        <w:t xml:space="preserve"> van een opdracht</w:t>
      </w:r>
      <w:r>
        <w:rPr>
          <w:color w:val="000000" w:themeColor="text1"/>
        </w:rPr>
        <w:t xml:space="preserve"> maximaal gebruik maken van elektronische oplossingen</w:t>
      </w:r>
      <w:r w:rsidR="004D5D98">
        <w:rPr>
          <w:color w:val="000000" w:themeColor="text1"/>
        </w:rPr>
        <w:t xml:space="preserve">, bijvoorbeeld e-mail. </w:t>
      </w:r>
    </w:p>
    <w:p w14:paraId="4DC00C83" w14:textId="79FB95D9" w:rsidR="00213F05" w:rsidRDefault="00213F05" w:rsidP="00213F05">
      <w:pPr>
        <w:rPr>
          <w:color w:val="000000" w:themeColor="text1"/>
        </w:rPr>
      </w:pPr>
      <w:r>
        <w:rPr>
          <w:color w:val="000000" w:themeColor="text1"/>
        </w:rPr>
        <w:lastRenderedPageBreak/>
        <w:t>Zoals vermeld werd de uitzondering op het gebruik van elektronische communicatiemiddelen bij het plaatsen van een opdracht via een OPZB of een oproep tot mededinging opgeheven</w:t>
      </w:r>
      <w:r w:rsidR="007B3D7B">
        <w:rPr>
          <w:color w:val="000000" w:themeColor="text1"/>
        </w:rPr>
        <w:t>:</w:t>
      </w:r>
      <w:r>
        <w:rPr>
          <w:color w:val="000000" w:themeColor="text1"/>
        </w:rPr>
        <w:t xml:space="preserve"> </w:t>
      </w:r>
    </w:p>
    <w:p w14:paraId="5BACE165" w14:textId="7493767F" w:rsidR="00213F05" w:rsidRPr="007B3D7B" w:rsidRDefault="007B3D7B" w:rsidP="007B3D7B">
      <w:pPr>
        <w:pStyle w:val="Bullet1"/>
        <w:rPr>
          <w:lang w:val="nl-BE"/>
        </w:rPr>
      </w:pPr>
      <w:r w:rsidRPr="007B3D7B">
        <w:rPr>
          <w:lang w:val="nl-BE"/>
        </w:rPr>
        <w:t>t</w:t>
      </w:r>
      <w:r w:rsidR="00213F05" w:rsidRPr="007B3D7B">
        <w:rPr>
          <w:lang w:val="nl-BE"/>
        </w:rPr>
        <w:t xml:space="preserve">en eerste wenst de federale overheid de nodige gegevens te bekomen om een grondige monitoring van onder meer de kmo-participatie realiteit te maken. Daartoe zal intensief gebruik gemaakt worden van onder </w:t>
      </w:r>
      <w:r w:rsidR="00F56AF3">
        <w:rPr>
          <w:lang w:val="nl-BE"/>
        </w:rPr>
        <w:t>andere</w:t>
      </w:r>
      <w:r w:rsidR="00F56AF3" w:rsidRPr="007B3D7B">
        <w:rPr>
          <w:lang w:val="nl-BE"/>
        </w:rPr>
        <w:t xml:space="preserve"> </w:t>
      </w:r>
      <w:r w:rsidR="00213F05" w:rsidRPr="007B3D7B">
        <w:rPr>
          <w:lang w:val="nl-BE"/>
        </w:rPr>
        <w:t>de gegevens beschikbaar in het proces-verbaal van opening van de offertes.</w:t>
      </w:r>
      <w:r w:rsidRPr="007B3D7B">
        <w:rPr>
          <w:lang w:val="nl-BE"/>
        </w:rPr>
        <w:t xml:space="preserve"> </w:t>
      </w:r>
      <w:r w:rsidR="00213F05" w:rsidRPr="007B3D7B">
        <w:rPr>
          <w:lang w:val="nl-BE"/>
        </w:rPr>
        <w:t>Om die gegevensinzameling vlot te laten verlopen voor de opdrachten onder de Europese drempels, werd de voormelde uitzondering dan ook geschrapt</w:t>
      </w:r>
      <w:r w:rsidRPr="007B3D7B">
        <w:rPr>
          <w:lang w:val="nl-BE"/>
        </w:rPr>
        <w:t xml:space="preserve"> ; </w:t>
      </w:r>
      <w:r>
        <w:rPr>
          <w:lang w:val="nl-BE"/>
        </w:rPr>
        <w:t xml:space="preserve">en </w:t>
      </w:r>
      <w:r w:rsidR="00213F05" w:rsidRPr="007B3D7B">
        <w:rPr>
          <w:lang w:val="nl-BE"/>
        </w:rPr>
        <w:t xml:space="preserve"> </w:t>
      </w:r>
    </w:p>
    <w:p w14:paraId="124FB770" w14:textId="41DDE87F" w:rsidR="00213F05" w:rsidRPr="007B3D7B" w:rsidRDefault="007B3D7B" w:rsidP="007B3D7B">
      <w:pPr>
        <w:pStyle w:val="Bullet1"/>
        <w:rPr>
          <w:lang w:val="nl-BE"/>
        </w:rPr>
      </w:pPr>
      <w:r w:rsidRPr="007B3D7B">
        <w:rPr>
          <w:lang w:val="nl-BE"/>
        </w:rPr>
        <w:t>t</w:t>
      </w:r>
      <w:r w:rsidR="00213F05" w:rsidRPr="007B3D7B">
        <w:rPr>
          <w:lang w:val="nl-BE"/>
        </w:rPr>
        <w:t>en tweede brengt het gebruik van elektronische platformen voordelen met zich mee voor</w:t>
      </w:r>
      <w:r w:rsidR="0079503B">
        <w:rPr>
          <w:lang w:val="nl-BE"/>
        </w:rPr>
        <w:t xml:space="preserve"> de aanbesteder en</w:t>
      </w:r>
      <w:r w:rsidR="00213F05" w:rsidRPr="007B3D7B">
        <w:rPr>
          <w:lang w:val="nl-BE"/>
        </w:rPr>
        <w:t xml:space="preserve"> de ondernemers, zie eerder, en dus ook in het geval van een OPZB. </w:t>
      </w:r>
    </w:p>
    <w:p w14:paraId="173CEBB4" w14:textId="2054DD73" w:rsidR="00213F05" w:rsidRPr="00CA7A8C" w:rsidRDefault="00213F05" w:rsidP="00213F05">
      <w:r w:rsidRPr="000578D7">
        <w:rPr>
          <w:b/>
          <w:bCs/>
          <w:color w:val="000000" w:themeColor="text1"/>
        </w:rPr>
        <w:t xml:space="preserve">In de praktijk maakt de federale overheid dus gebruik van </w:t>
      </w:r>
      <w:hyperlink r:id="rId44" w:history="1">
        <w:r w:rsidRPr="000578D7">
          <w:rPr>
            <w:rStyle w:val="Hyperlink"/>
            <w:rFonts w:eastAsia="Segoe UI" w:cs="Segoe UI"/>
            <w:b/>
            <w:bCs/>
          </w:rPr>
          <w:t>e-Procurement</w:t>
        </w:r>
      </w:hyperlink>
      <w:r w:rsidRPr="00CA7A8C">
        <w:rPr>
          <w:color w:val="000000" w:themeColor="text1"/>
        </w:rPr>
        <w:t xml:space="preserve">. </w:t>
      </w:r>
      <w:r w:rsidRPr="00CA7A8C">
        <w:t xml:space="preserve">E-Procurement is een platform dat ondernemingen en </w:t>
      </w:r>
      <w:r w:rsidR="00154AD8" w:rsidRPr="00CA7A8C">
        <w:t xml:space="preserve">overheden </w:t>
      </w:r>
      <w:r w:rsidRPr="00CA7A8C">
        <w:t xml:space="preserve">toelaat de hele procedure voor de </w:t>
      </w:r>
      <w:r w:rsidRPr="00A02543">
        <w:rPr>
          <w:b/>
          <w:bCs/>
        </w:rPr>
        <w:t>plaatsing</w:t>
      </w:r>
      <w:r w:rsidRPr="00CA7A8C">
        <w:t xml:space="preserve"> van overheidsopdrachten volledig elektronisch en transparant te organiseren, te beheren en te volgen.</w:t>
      </w:r>
    </w:p>
    <w:p w14:paraId="172B0BB8" w14:textId="0ECEB232" w:rsidR="00213F05" w:rsidRPr="00CA7A8C" w:rsidRDefault="00213F05" w:rsidP="00213F05">
      <w:r w:rsidRPr="00CA7A8C">
        <w:t xml:space="preserve">Het gebruik van e-Procurement is verplicht voor federale en tal van andere aanbesteders. Bovendien werd e-Procurement </w:t>
      </w:r>
      <w:hyperlink r:id="rId45" w:history="1">
        <w:r w:rsidRPr="00CA7A8C">
          <w:rPr>
            <w:rStyle w:val="Hyperlink"/>
            <w:rFonts w:eastAsia="Segoe UI" w:cs="Segoe UI"/>
          </w:rPr>
          <w:t>vernieuwd</w:t>
        </w:r>
      </w:hyperlink>
      <w:r w:rsidRPr="00CA7A8C">
        <w:t xml:space="preserve"> en opnieuw officieel gelanceerd op </w:t>
      </w:r>
      <w:r w:rsidR="00DB7E0F" w:rsidRPr="00CA7A8C">
        <w:t>4</w:t>
      </w:r>
      <w:r w:rsidRPr="00CA7A8C">
        <w:t xml:space="preserve"> september 2023. In de komende maanden worden nog een aantal nieuwe toepassingen toegevoegd aan de reeds beschikbare basisversie van het platform – zie principes 2, 4, </w:t>
      </w:r>
      <w:r w:rsidR="00EC65D0" w:rsidRPr="00CA7A8C">
        <w:t>8</w:t>
      </w:r>
      <w:r w:rsidRPr="00CA7A8C">
        <w:t>, 10 en 11 van dit charter.</w:t>
      </w:r>
    </w:p>
    <w:p w14:paraId="696D5594" w14:textId="333AABD0" w:rsidR="00213F05" w:rsidRPr="00CA7A8C" w:rsidRDefault="00213F05" w:rsidP="00213F05">
      <w:pPr>
        <w:rPr>
          <w:color w:val="000000" w:themeColor="text1"/>
        </w:rPr>
      </w:pPr>
      <w:r w:rsidRPr="00CA7A8C">
        <w:t xml:space="preserve">Het betreft onder meer een tool die het organiseren van digitale informatiesessies toelaat, een </w:t>
      </w:r>
      <w:r w:rsidR="00504B70" w:rsidRPr="00CA7A8C">
        <w:t xml:space="preserve">toepassing </w:t>
      </w:r>
      <w:r w:rsidRPr="00CA7A8C">
        <w:t xml:space="preserve">die het bevragen van geïnteresseerde ondernemingen die toch niet geparticipeerd hebben aan een opdracht mogelijk maakt en een </w:t>
      </w:r>
      <w:r w:rsidR="00504B70" w:rsidRPr="00CA7A8C">
        <w:t xml:space="preserve">applicatie </w:t>
      </w:r>
      <w:r w:rsidRPr="00CA7A8C">
        <w:t>die ondernemingen herinnert aan hun rechten inzake het opvragen van feedback bij de aanbesteder. Daarnaast blijven tal van reeds bestaande toepassingen beschikbaar, zoals de visitekaartjes van</w:t>
      </w:r>
      <w:r w:rsidR="00F765EE" w:rsidRPr="00CA7A8C">
        <w:t xml:space="preserve"> de geregistreerde</w:t>
      </w:r>
      <w:r w:rsidRPr="00CA7A8C">
        <w:t xml:space="preserve"> ondernemingen en de online fora.</w:t>
      </w:r>
    </w:p>
    <w:p w14:paraId="2278F066" w14:textId="398E1651" w:rsidR="00213F05" w:rsidRDefault="00213F05" w:rsidP="00213F05">
      <w:pPr>
        <w:rPr>
          <w:color w:val="000000" w:themeColor="text1"/>
        </w:rPr>
      </w:pPr>
      <w:r w:rsidRPr="00CA7A8C">
        <w:rPr>
          <w:color w:val="000000" w:themeColor="text1"/>
        </w:rPr>
        <w:t xml:space="preserve">Enerzijds is </w:t>
      </w:r>
      <w:r w:rsidRPr="00CA7A8C">
        <w:t>e-Procurement</w:t>
      </w:r>
      <w:r w:rsidRPr="00CA7A8C">
        <w:rPr>
          <w:color w:val="000000" w:themeColor="text1"/>
        </w:rPr>
        <w:t xml:space="preserve"> het enige wettelijke instrument om opdrachten die onderworpen zijn aan de verplichte bekendmaking (elektronisch) aan te kondigen. Anderzijds is het platform eveneens het meest geschikte instrument om voor gunningsprocedures die niet onder de verplichte bekendmakingsregels vallen, de interacties tussen aanbesteders en ondernemingen toch digitaal te laten verlopen, zie principes 2 en 10 voor meer informatie over het vrijwillig (digitaal) publiceren van overheidsopdrachten. Ook de communicatie tussen aanbesteders en ondernemingen kan via het platform verlopen, </w:t>
      </w:r>
      <w:r w:rsidR="0089018C">
        <w:rPr>
          <w:color w:val="000000" w:themeColor="text1"/>
        </w:rPr>
        <w:t xml:space="preserve">dat </w:t>
      </w:r>
      <w:r w:rsidRPr="00CA7A8C">
        <w:rPr>
          <w:color w:val="000000" w:themeColor="text1"/>
        </w:rPr>
        <w:t>door gebruik te maken van het forum en een toekomstige toepassing inzake digitale informatiesessies, zie principe 2.</w:t>
      </w:r>
      <w:r w:rsidR="003663BC">
        <w:rPr>
          <w:color w:val="000000" w:themeColor="text1"/>
        </w:rPr>
        <w:t xml:space="preserve"> </w:t>
      </w:r>
      <w:r>
        <w:rPr>
          <w:color w:val="000000" w:themeColor="text1"/>
        </w:rPr>
        <w:t xml:space="preserve"> </w:t>
      </w:r>
      <w:r w:rsidR="003663BC">
        <w:rPr>
          <w:color w:val="000000" w:themeColor="text1"/>
        </w:rPr>
        <w:t xml:space="preserve"> </w:t>
      </w:r>
    </w:p>
    <w:p w14:paraId="0C4E9262" w14:textId="77777777" w:rsidR="00FC71D4" w:rsidRPr="00FC71D4" w:rsidRDefault="00FC71D4" w:rsidP="00FC71D4">
      <w:pPr>
        <w:pStyle w:val="Kop3"/>
        <w:jc w:val="both"/>
        <w:rPr>
          <w:lang w:val="nl-NL"/>
        </w:rPr>
      </w:pPr>
      <w:bookmarkStart w:id="14" w:name="_Toc135839929"/>
      <w:bookmarkStart w:id="15" w:name="_Toc150870533"/>
      <w:r w:rsidRPr="00FC71D4">
        <w:rPr>
          <w:lang w:val="nl-NL"/>
        </w:rPr>
        <w:t>De elektronische factuur in het kader van overheidsopdrachten</w:t>
      </w:r>
      <w:bookmarkEnd w:id="14"/>
      <w:bookmarkEnd w:id="15"/>
    </w:p>
    <w:p w14:paraId="3D527E63" w14:textId="7C920539" w:rsidR="00FC71D4" w:rsidRPr="00FC71D4" w:rsidRDefault="00FC71D4" w:rsidP="00FC71D4">
      <w:pPr>
        <w:rPr>
          <w:lang w:val="nl-NL"/>
        </w:rPr>
      </w:pPr>
      <w:r w:rsidRPr="00FC71D4">
        <w:rPr>
          <w:lang w:val="nl-NL"/>
        </w:rPr>
        <w:t xml:space="preserve">Aanbesteders zijn reeds enkele jaren verplicht om elektronische factureren te kunnen ontvangen en verwerken. Bovendien </w:t>
      </w:r>
      <w:r w:rsidR="003905BC">
        <w:rPr>
          <w:lang w:val="nl-NL"/>
        </w:rPr>
        <w:t xml:space="preserve">wordt via het </w:t>
      </w:r>
      <w:r w:rsidR="009F1867">
        <w:rPr>
          <w:lang w:val="nl-NL"/>
        </w:rPr>
        <w:t xml:space="preserve">koninklijk besluit van </w:t>
      </w:r>
      <w:hyperlink r:id="rId46" w:history="1">
        <w:r w:rsidR="009F1867" w:rsidRPr="00EE7B63">
          <w:rPr>
            <w:rStyle w:val="Hyperlink"/>
            <w:lang w:val="nl-NL"/>
          </w:rPr>
          <w:t>9 maart</w:t>
        </w:r>
        <w:r w:rsidRPr="00EE7B63">
          <w:rPr>
            <w:rStyle w:val="Hyperlink"/>
            <w:lang w:val="nl-NL"/>
          </w:rPr>
          <w:t xml:space="preserve"> 2022</w:t>
        </w:r>
      </w:hyperlink>
      <w:r w:rsidRPr="00FC71D4">
        <w:rPr>
          <w:lang w:val="nl-NL"/>
        </w:rPr>
        <w:t xml:space="preserve"> ook het versturen van elektronische facturen van de onderneming naar de aanbesteder toe stapsgewijs verplicht. </w:t>
      </w:r>
    </w:p>
    <w:p w14:paraId="20C76C11" w14:textId="77777777" w:rsidR="00FC71D4" w:rsidRPr="00FC71D4" w:rsidRDefault="00FC71D4" w:rsidP="00FC71D4">
      <w:pPr>
        <w:rPr>
          <w:lang w:val="nl-NL"/>
        </w:rPr>
      </w:pPr>
      <w:r w:rsidRPr="00FC71D4">
        <w:rPr>
          <w:lang w:val="nl-NL"/>
        </w:rPr>
        <w:t xml:space="preserve">De elektronische </w:t>
      </w:r>
      <w:r w:rsidRPr="00FC71D4">
        <w:rPr>
          <w:b/>
          <w:bCs/>
          <w:lang w:val="nl-NL"/>
        </w:rPr>
        <w:t>factuur</w:t>
      </w:r>
      <w:r w:rsidRPr="00FC71D4">
        <w:rPr>
          <w:lang w:val="nl-NL"/>
        </w:rPr>
        <w:t xml:space="preserve"> sluit aan bij de </w:t>
      </w:r>
      <w:hyperlink r:id="rId47" w:history="1">
        <w:r w:rsidRPr="00FC71D4">
          <w:rPr>
            <w:rStyle w:val="Hyperlink"/>
            <w:lang w:val="nl-NL"/>
          </w:rPr>
          <w:t>dematerialiseringscontext</w:t>
        </w:r>
      </w:hyperlink>
      <w:r w:rsidRPr="00FC71D4">
        <w:rPr>
          <w:lang w:val="nl-NL"/>
        </w:rPr>
        <w:t xml:space="preserve"> van de aankoopprocedure. Het is een instrument voor administratieve vereenvoudiging, zowel voor de leveranciers als voor de administraties. Naast besparingen (vermindering drukwerk en verzendingskosten, versnelde betalingstermijn) garandeert de elektronische factuur ook meer doeltreffendheid (geen eventuele invoerfouten meer, de garantie dat de factuur op de juiste afdeling toekomt) en meer transparantie (de leverancier kan de status van de factuur opvolgen). Bovenop die voordelen is er nog een verminderde milieu-impact. </w:t>
      </w:r>
    </w:p>
    <w:p w14:paraId="1D898253" w14:textId="579AD259" w:rsidR="00FC71D4" w:rsidRPr="00FC71D4" w:rsidRDefault="00FC71D4" w:rsidP="00FC71D4">
      <w:pPr>
        <w:rPr>
          <w:lang w:val="nl-NL"/>
        </w:rPr>
      </w:pPr>
      <w:r w:rsidRPr="00FC71D4">
        <w:rPr>
          <w:lang w:val="nl-NL"/>
        </w:rPr>
        <w:t xml:space="preserve">Het </w:t>
      </w:r>
      <w:r w:rsidR="0009075B">
        <w:rPr>
          <w:lang w:val="nl-NL"/>
        </w:rPr>
        <w:t>KB</w:t>
      </w:r>
      <w:r w:rsidR="00EE7B63" w:rsidRPr="00EE7B63">
        <w:rPr>
          <w:lang w:val="nl-NL"/>
        </w:rPr>
        <w:t xml:space="preserve"> van 9 maart 2022</w:t>
      </w:r>
      <w:r w:rsidRPr="00FC71D4">
        <w:rPr>
          <w:lang w:val="nl-NL"/>
        </w:rPr>
        <w:t xml:space="preserve"> verplicht </w:t>
      </w:r>
      <w:r w:rsidRPr="00FC71D4">
        <w:rPr>
          <w:b/>
          <w:bCs/>
          <w:lang w:val="nl-NL"/>
        </w:rPr>
        <w:t>e-facturatie</w:t>
      </w:r>
      <w:r w:rsidRPr="00FC71D4">
        <w:rPr>
          <w:lang w:val="nl-NL"/>
        </w:rPr>
        <w:t xml:space="preserve"> of e-</w:t>
      </w:r>
      <w:r w:rsidR="00E02556">
        <w:rPr>
          <w:lang w:val="nl-NL"/>
        </w:rPr>
        <w:t>i</w:t>
      </w:r>
      <w:r w:rsidRPr="00FC71D4">
        <w:rPr>
          <w:lang w:val="nl-NL"/>
        </w:rPr>
        <w:t>nvoicing bij overheidsopdrachten:</w:t>
      </w:r>
    </w:p>
    <w:p w14:paraId="3F595BD5" w14:textId="77777777" w:rsidR="00FC71D4" w:rsidRPr="00B77F2A" w:rsidRDefault="00FC71D4" w:rsidP="00FC71D4">
      <w:pPr>
        <w:pStyle w:val="Bullet1"/>
        <w:rPr>
          <w:lang w:val="nl-BE"/>
        </w:rPr>
      </w:pPr>
      <w:r w:rsidRPr="00B77F2A">
        <w:rPr>
          <w:lang w:val="nl-BE"/>
        </w:rPr>
        <w:t>vanaf 01/11/2022 voor overheidsopdrachten waarvan de geraamde waarde gelijk is of hoger dan de drempel voor Europese bekendmaking (≥ 140.000 euro);</w:t>
      </w:r>
    </w:p>
    <w:p w14:paraId="6224BE43" w14:textId="77777777" w:rsidR="00FC71D4" w:rsidRPr="00B77F2A" w:rsidRDefault="00FC71D4" w:rsidP="00FC71D4">
      <w:pPr>
        <w:pStyle w:val="Bullet1"/>
        <w:rPr>
          <w:lang w:val="nl-BE"/>
        </w:rPr>
      </w:pPr>
      <w:r w:rsidRPr="00B77F2A">
        <w:rPr>
          <w:lang w:val="nl-BE"/>
        </w:rPr>
        <w:t>vanaf 01/05/2023 voor alle opdrachten waarvan de geraamde waarde kleiner is dan de drempel voor Europese bekendmaking (≥ 30.000 euro en &lt; 140.000 euro);</w:t>
      </w:r>
    </w:p>
    <w:p w14:paraId="36A3FFE9" w14:textId="3A93F39D" w:rsidR="00FC71D4" w:rsidRPr="00CA7A8C" w:rsidRDefault="00FC71D4" w:rsidP="00FC71D4">
      <w:pPr>
        <w:pStyle w:val="Bullet1"/>
        <w:rPr>
          <w:lang w:val="nl-BE"/>
        </w:rPr>
      </w:pPr>
      <w:r w:rsidRPr="00CA7A8C">
        <w:rPr>
          <w:lang w:val="nl-BE"/>
        </w:rPr>
        <w:t>vanaf 01/</w:t>
      </w:r>
      <w:r w:rsidR="007E2D60" w:rsidRPr="00CA7A8C">
        <w:rPr>
          <w:lang w:val="nl-BE"/>
        </w:rPr>
        <w:t>03</w:t>
      </w:r>
      <w:r w:rsidRPr="00CA7A8C">
        <w:rPr>
          <w:lang w:val="nl-BE"/>
        </w:rPr>
        <w:t>/202</w:t>
      </w:r>
      <w:r w:rsidR="007E2D60" w:rsidRPr="00CA7A8C">
        <w:rPr>
          <w:lang w:val="nl-BE"/>
        </w:rPr>
        <w:t>4</w:t>
      </w:r>
      <w:r w:rsidRPr="00CA7A8C">
        <w:rPr>
          <w:lang w:val="nl-BE"/>
        </w:rPr>
        <w:t xml:space="preserve"> voor de opdrachten waarvan de geraamde waarde kleiner is dan 30.000 euro.</w:t>
      </w:r>
    </w:p>
    <w:p w14:paraId="4C9D52E1" w14:textId="77777777" w:rsidR="00FC71D4" w:rsidRDefault="00FC71D4" w:rsidP="00FC71D4">
      <w:pPr>
        <w:rPr>
          <w:lang w:val="nl-NL"/>
        </w:rPr>
      </w:pPr>
      <w:r w:rsidRPr="00FC71D4">
        <w:rPr>
          <w:lang w:val="nl-NL"/>
        </w:rPr>
        <w:t>Het overmaken van facturen op elektronische wijze is niet verplicht voor de opdrachten kleiner dan 3.000 euro, voor die opdrachten geldt namelijk een uitzondering. De drempel van 3.000 euro komt overeen met de huidige drempel in de Belgische wetgeving voor cashbetalingen.</w:t>
      </w:r>
    </w:p>
    <w:p w14:paraId="20BF430C" w14:textId="2FC51DCC" w:rsidR="00B32E08" w:rsidRPr="00FC71D4" w:rsidRDefault="008535D4" w:rsidP="00FC71D4">
      <w:pPr>
        <w:rPr>
          <w:lang w:val="nl-NL"/>
        </w:rPr>
      </w:pPr>
      <w:r>
        <w:rPr>
          <w:lang w:val="nl-NL"/>
        </w:rPr>
        <w:lastRenderedPageBreak/>
        <w:t xml:space="preserve">Aanbesteders </w:t>
      </w:r>
      <w:r w:rsidRPr="008535D4">
        <w:rPr>
          <w:lang w:val="nl-NL"/>
        </w:rPr>
        <w:t xml:space="preserve">kunnen echter strenger zijn door een bepaling in die zin op te nemen in de opdrachtdocumenten. </w:t>
      </w:r>
      <w:hyperlink r:id="rId48" w:history="1">
        <w:r w:rsidR="00BE65CF" w:rsidRPr="00FA1A74">
          <w:rPr>
            <w:rStyle w:val="Hyperlink"/>
            <w:b/>
            <w:bCs/>
            <w:lang w:val="nl-NL"/>
          </w:rPr>
          <w:t>Ter info</w:t>
        </w:r>
      </w:hyperlink>
      <w:r w:rsidR="00BE65CF" w:rsidRPr="00BE65CF">
        <w:rPr>
          <w:b/>
          <w:bCs/>
          <w:lang w:val="nl-NL"/>
        </w:rPr>
        <w:t>: f</w:t>
      </w:r>
      <w:r w:rsidRPr="00BE65CF">
        <w:rPr>
          <w:b/>
          <w:bCs/>
          <w:lang w:val="nl-NL"/>
        </w:rPr>
        <w:t>ederale</w:t>
      </w:r>
      <w:r w:rsidRPr="00391718">
        <w:rPr>
          <w:b/>
          <w:bCs/>
          <w:lang w:val="nl-NL"/>
        </w:rPr>
        <w:t xml:space="preserve"> </w:t>
      </w:r>
      <w:r w:rsidR="00C64CCB" w:rsidRPr="00391718">
        <w:rPr>
          <w:b/>
          <w:bCs/>
          <w:lang w:val="nl-NL"/>
        </w:rPr>
        <w:t>aanbesteders</w:t>
      </w:r>
      <w:r w:rsidRPr="00391718">
        <w:rPr>
          <w:b/>
          <w:bCs/>
          <w:lang w:val="nl-NL"/>
        </w:rPr>
        <w:t xml:space="preserve"> zullen</w:t>
      </w:r>
      <w:r w:rsidR="00440F2D" w:rsidRPr="00391718">
        <w:rPr>
          <w:b/>
          <w:bCs/>
          <w:lang w:val="nl-NL"/>
        </w:rPr>
        <w:t xml:space="preserve"> verplicht zijn om</w:t>
      </w:r>
      <w:r w:rsidRPr="00391718">
        <w:rPr>
          <w:b/>
          <w:bCs/>
          <w:lang w:val="nl-NL"/>
        </w:rPr>
        <w:t xml:space="preserve"> de elektronische facturering vanaf 1 maart 2024 ook op</w:t>
      </w:r>
      <w:r w:rsidR="00A735CA" w:rsidRPr="00391718">
        <w:rPr>
          <w:b/>
          <w:bCs/>
          <w:lang w:val="nl-NL"/>
        </w:rPr>
        <w:t xml:space="preserve"> te </w:t>
      </w:r>
      <w:r w:rsidRPr="00391718">
        <w:rPr>
          <w:b/>
          <w:bCs/>
          <w:lang w:val="nl-NL"/>
        </w:rPr>
        <w:t>leggen onder de 3</w:t>
      </w:r>
      <w:r w:rsidR="002B4526">
        <w:rPr>
          <w:b/>
          <w:bCs/>
          <w:lang w:val="nl-NL"/>
        </w:rPr>
        <w:t>.</w:t>
      </w:r>
      <w:r w:rsidRPr="00391718">
        <w:rPr>
          <w:b/>
          <w:bCs/>
          <w:lang w:val="nl-NL"/>
        </w:rPr>
        <w:t>000 euro</w:t>
      </w:r>
      <w:r w:rsidRPr="00062201">
        <w:rPr>
          <w:b/>
          <w:bCs/>
          <w:lang w:val="nl-NL"/>
        </w:rPr>
        <w:t>.</w:t>
      </w:r>
    </w:p>
    <w:p w14:paraId="4A815548" w14:textId="77777777" w:rsidR="00FC71D4" w:rsidRPr="00FC71D4" w:rsidRDefault="00FC71D4" w:rsidP="00FC71D4">
      <w:pPr>
        <w:rPr>
          <w:lang w:val="nl-NL"/>
        </w:rPr>
      </w:pPr>
      <w:r w:rsidRPr="00FC71D4">
        <w:rPr>
          <w:lang w:val="nl-NL"/>
        </w:rPr>
        <w:t>Voor meer informatie over elektronische facturatie in het kader van overheidsopdrachten, zie onder meer:</w:t>
      </w:r>
    </w:p>
    <w:p w14:paraId="5EB1994D" w14:textId="1CBD3A19" w:rsidR="00FC71D4" w:rsidRPr="00B77F2A" w:rsidRDefault="00000000" w:rsidP="00FC71D4">
      <w:pPr>
        <w:pStyle w:val="Bullet1"/>
        <w:rPr>
          <w:lang w:val="nl-NL"/>
        </w:rPr>
      </w:pPr>
      <w:hyperlink r:id="rId49" w:history="1">
        <w:r w:rsidR="008172ED" w:rsidRPr="005D2975">
          <w:rPr>
            <w:rStyle w:val="Hyperlink"/>
            <w:lang w:val="nl-NL"/>
          </w:rPr>
          <w:t>https://bosa.belgium.be/nl/themas/overheids-opdrachten/een-elektronische-factuur-opmaken-ontvangen-en-mogelijk-maken</w:t>
        </w:r>
      </w:hyperlink>
      <w:r w:rsidR="008172ED">
        <w:rPr>
          <w:lang w:val="nl-NL"/>
        </w:rPr>
        <w:t xml:space="preserve"> </w:t>
      </w:r>
    </w:p>
    <w:p w14:paraId="5E52F942" w14:textId="69897BFF" w:rsidR="00FC71D4" w:rsidRPr="00B77F2A" w:rsidRDefault="00000000" w:rsidP="00FC71D4">
      <w:pPr>
        <w:pStyle w:val="Bullet1"/>
        <w:rPr>
          <w:lang w:val="nl-NL"/>
        </w:rPr>
      </w:pPr>
      <w:hyperlink r:id="rId50" w:history="1">
        <w:r w:rsidR="008312AF" w:rsidRPr="004155A3">
          <w:rPr>
            <w:rStyle w:val="Hyperlink"/>
            <w:lang w:val="nl-NL"/>
          </w:rPr>
          <w:t>https://bosa.belgium.be/nl/themas/overheids-opdrachten/hoe-een-elektronische-factuur-opmaken-ontvangen-en-faciliteren/hoe-0</w:t>
        </w:r>
      </w:hyperlink>
      <w:r w:rsidR="008312AF">
        <w:rPr>
          <w:lang w:val="nl-NL"/>
        </w:rPr>
        <w:t xml:space="preserve"> </w:t>
      </w:r>
    </w:p>
    <w:p w14:paraId="07BD2B27" w14:textId="77777777" w:rsidR="00CB7F27" w:rsidRPr="00CB7F27" w:rsidRDefault="00CB7F27" w:rsidP="00CB7F27">
      <w:pPr>
        <w:pStyle w:val="Kop3"/>
        <w:rPr>
          <w:rFonts w:eastAsia="Lato"/>
        </w:rPr>
      </w:pPr>
      <w:bookmarkStart w:id="16" w:name="_Toc135839930"/>
      <w:bookmarkStart w:id="17" w:name="_Toc150870534"/>
      <w:r w:rsidRPr="00CB7F27">
        <w:rPr>
          <w:rFonts w:eastAsia="Lato"/>
        </w:rPr>
        <w:t>De elektronische handtekening</w:t>
      </w:r>
      <w:bookmarkEnd w:id="16"/>
      <w:bookmarkEnd w:id="17"/>
    </w:p>
    <w:p w14:paraId="7F2D2F96" w14:textId="4B05BFEC" w:rsidR="00CB7F27" w:rsidRDefault="00CB7F27" w:rsidP="00CB7F27">
      <w:r w:rsidRPr="00CB7F27">
        <w:t xml:space="preserve">De offertes </w:t>
      </w:r>
      <w:r w:rsidRPr="00F65D99">
        <w:t>(onder de vorm van het indieningsrapport)</w:t>
      </w:r>
      <w:r w:rsidRPr="00CB7F27">
        <w:t xml:space="preserve"> moeten worden ondertekend door middel van een gekwalificeerde </w:t>
      </w:r>
      <w:r w:rsidRPr="00CB7F27">
        <w:rPr>
          <w:b/>
          <w:bCs/>
        </w:rPr>
        <w:t>elektronische handtekening</w:t>
      </w:r>
      <w:r w:rsidRPr="00CB7F27">
        <w:t xml:space="preserve">. De aanbestedende overheid mag in de opdrachtdocumenten </w:t>
      </w:r>
      <w:r w:rsidR="00160761">
        <w:t xml:space="preserve">echter </w:t>
      </w:r>
      <w:r w:rsidRPr="00CB7F27">
        <w:t xml:space="preserve">afwijken van dat principe en een andere wijze van ondertekening opleggen. Het is evenwel belangrijk aan te dringen op het feit dat een gekwalificeerde elektronische handtekening een grotere waarborg biedt in de zin van veiligheid dan de overige </w:t>
      </w:r>
      <w:r w:rsidR="00484F6D">
        <w:t xml:space="preserve">types </w:t>
      </w:r>
      <w:r w:rsidRPr="00CB7F27">
        <w:t>handtekeningen.</w:t>
      </w:r>
    </w:p>
    <w:p w14:paraId="08CC9AD5" w14:textId="77777777" w:rsidR="00A74F2E" w:rsidRPr="00CB7F27" w:rsidRDefault="00A74F2E" w:rsidP="00CB7F27"/>
    <w:tbl>
      <w:tblPr>
        <w:tblStyle w:val="Tabelraster"/>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CB7F27" w:rsidRPr="00CB7F27" w14:paraId="1E178827" w14:textId="77777777" w:rsidTr="00CB7F27">
        <w:tc>
          <w:tcPr>
            <w:tcW w:w="5000" w:type="pct"/>
            <w:shd w:val="clear" w:color="auto" w:fill="FFF2CC" w:themeFill="accent4" w:themeFillTint="33"/>
          </w:tcPr>
          <w:p w14:paraId="69A29ABF" w14:textId="77777777" w:rsidR="00CB7F27" w:rsidRPr="00CB7F27" w:rsidRDefault="00CB7F27" w:rsidP="00763E4C">
            <w:pPr>
              <w:rPr>
                <w:b/>
                <w:bCs/>
                <w:i/>
                <w:iCs/>
              </w:rPr>
            </w:pPr>
            <w:r w:rsidRPr="00062201">
              <w:rPr>
                <w:b/>
                <w:bCs/>
                <w:i/>
                <w:iCs/>
              </w:rPr>
              <w:t>Toekomstig recht</w:t>
            </w:r>
          </w:p>
        </w:tc>
      </w:tr>
      <w:tr w:rsidR="00CB7F27" w:rsidRPr="00CB7F27" w14:paraId="28D33936" w14:textId="77777777" w:rsidTr="00CB7F27">
        <w:tc>
          <w:tcPr>
            <w:tcW w:w="5000" w:type="pct"/>
            <w:shd w:val="clear" w:color="auto" w:fill="FFF2CC" w:themeFill="accent4" w:themeFillTint="33"/>
          </w:tcPr>
          <w:p w14:paraId="07CEEFD3" w14:textId="6AFF4F1B" w:rsidR="00CB7F27" w:rsidRPr="00CA7A8C" w:rsidRDefault="00CB7F27" w:rsidP="00763E4C">
            <w:r w:rsidRPr="00CA7A8C">
              <w:t xml:space="preserve">De wetgeving overheidsopdrachten zal, via een update van </w:t>
            </w:r>
            <w:r w:rsidR="00B3214B" w:rsidRPr="00C10DC9">
              <w:t>de</w:t>
            </w:r>
            <w:r w:rsidR="00B3214B">
              <w:t xml:space="preserve"> wet</w:t>
            </w:r>
            <w:r w:rsidR="004E1917">
              <w:t xml:space="preserve"> overheidsopdrachten</w:t>
            </w:r>
            <w:r w:rsidR="00E34C9A">
              <w:t xml:space="preserve"> van 17 juni 2016</w:t>
            </w:r>
            <w:r w:rsidRPr="00CA7A8C">
              <w:t xml:space="preserve">, </w:t>
            </w:r>
            <w:r w:rsidR="005E55DA">
              <w:t xml:space="preserve">onder meer </w:t>
            </w:r>
            <w:r w:rsidRPr="00CA7A8C">
              <w:t>voorzien in een mogelijkheid</w:t>
            </w:r>
            <w:r w:rsidR="00FA0639">
              <w:t xml:space="preserve"> en verplichting</w:t>
            </w:r>
            <w:r w:rsidRPr="00CA7A8C">
              <w:t xml:space="preserve"> tot regularisatie in geval van problemen met de aanwezigheid of geldigheid van de gevraagde elektronische handtekening. De publicatie van de nieuwe wetgeving is momenteel voorzien voor </w:t>
            </w:r>
            <w:r w:rsidR="00886E7C" w:rsidRPr="00CA7A8C">
              <w:t xml:space="preserve">het </w:t>
            </w:r>
            <w:r w:rsidR="00C10DC9">
              <w:t>voorjaar</w:t>
            </w:r>
            <w:r w:rsidR="00C10DC9" w:rsidRPr="00CA7A8C">
              <w:t xml:space="preserve"> </w:t>
            </w:r>
            <w:r w:rsidR="00886E7C" w:rsidRPr="00CA7A8C">
              <w:t>van</w:t>
            </w:r>
            <w:r w:rsidRPr="00CA7A8C">
              <w:t xml:space="preserve"> 202</w:t>
            </w:r>
            <w:r w:rsidR="00C10DC9">
              <w:t>4</w:t>
            </w:r>
            <w:r w:rsidRPr="00CA7A8C">
              <w:t>.</w:t>
            </w:r>
          </w:p>
        </w:tc>
      </w:tr>
      <w:tr w:rsidR="00CB7F27" w:rsidRPr="00CB7F27" w14:paraId="105BEB7C" w14:textId="77777777" w:rsidTr="00CB7F27">
        <w:tc>
          <w:tcPr>
            <w:tcW w:w="5000" w:type="pct"/>
            <w:shd w:val="clear" w:color="auto" w:fill="FFF2CC" w:themeFill="accent4" w:themeFillTint="33"/>
          </w:tcPr>
          <w:p w14:paraId="4A469200" w14:textId="7D08DBF6" w:rsidR="00CB7F27" w:rsidRPr="00CA7A8C" w:rsidRDefault="00CE25E3" w:rsidP="00763E4C">
            <w:r w:rsidRPr="00CA7A8C">
              <w:rPr>
                <w:i/>
                <w:iCs/>
              </w:rPr>
              <w:t xml:space="preserve">Dit deel van het charter wordt </w:t>
            </w:r>
            <w:r w:rsidR="006B35FF" w:rsidRPr="00CA7A8C">
              <w:rPr>
                <w:i/>
                <w:iCs/>
              </w:rPr>
              <w:t xml:space="preserve">door de FOD Economie </w:t>
            </w:r>
            <w:r w:rsidRPr="00CA7A8C">
              <w:rPr>
                <w:i/>
                <w:iCs/>
              </w:rPr>
              <w:t>van een update voorzien</w:t>
            </w:r>
            <w:r w:rsidR="006B35FF" w:rsidRPr="00CA7A8C">
              <w:rPr>
                <w:i/>
                <w:iCs/>
              </w:rPr>
              <w:t xml:space="preserve"> van</w:t>
            </w:r>
            <w:r w:rsidRPr="00CA7A8C">
              <w:rPr>
                <w:i/>
                <w:iCs/>
              </w:rPr>
              <w:t xml:space="preserve"> zodra </w:t>
            </w:r>
            <w:r w:rsidR="00ED3B23" w:rsidRPr="00CA7A8C">
              <w:rPr>
                <w:i/>
                <w:iCs/>
              </w:rPr>
              <w:t>nieuwe informatie beschikbaar is en/of nieuwe wetgeving gepubliceerd werd in het Belgisch Staatsblad.</w:t>
            </w:r>
            <w:r w:rsidR="00CB7F27" w:rsidRPr="00CA7A8C">
              <w:t xml:space="preserve"> </w:t>
            </w:r>
          </w:p>
        </w:tc>
      </w:tr>
    </w:tbl>
    <w:p w14:paraId="74F408C2" w14:textId="1A86A228" w:rsidR="00CB7F27" w:rsidRDefault="00CB7F27" w:rsidP="00CB7F27">
      <w:r>
        <w:t xml:space="preserve">Als aanbesteder bestaat de mogelijkheid om </w:t>
      </w:r>
      <w:r w:rsidRPr="009A2053">
        <w:rPr>
          <w:b/>
          <w:bCs/>
        </w:rPr>
        <w:t>ondernemingen</w:t>
      </w:r>
      <w:r w:rsidR="001E2DC6">
        <w:rPr>
          <w:b/>
          <w:bCs/>
        </w:rPr>
        <w:t xml:space="preserve"> hierin</w:t>
      </w:r>
      <w:r w:rsidR="00B529A1">
        <w:rPr>
          <w:b/>
          <w:bCs/>
        </w:rPr>
        <w:t xml:space="preserve"> </w:t>
      </w:r>
      <w:r w:rsidRPr="009A2053">
        <w:rPr>
          <w:b/>
          <w:bCs/>
        </w:rPr>
        <w:t>te ondersteunen door verduidelijkingen te voorzien in de opdrachtdocumenten</w:t>
      </w:r>
      <w:r>
        <w:t xml:space="preserve">, namelijk over: </w:t>
      </w:r>
    </w:p>
    <w:p w14:paraId="5100E70C" w14:textId="7E7B0723" w:rsidR="00CB7F27" w:rsidRPr="00DD140F" w:rsidRDefault="00CB7F27" w:rsidP="00CB7F27">
      <w:pPr>
        <w:pStyle w:val="Bullet1"/>
        <w:rPr>
          <w:lang w:val="nl-BE"/>
        </w:rPr>
      </w:pPr>
      <w:r w:rsidRPr="00DD140F">
        <w:rPr>
          <w:lang w:val="nl-BE"/>
        </w:rPr>
        <w:t xml:space="preserve">het tijdig beginnen aan het indienen van de offerte;  </w:t>
      </w:r>
    </w:p>
    <w:p w14:paraId="2AAC98D8" w14:textId="05D806C0" w:rsidR="00CB7F27" w:rsidRPr="00B77F2A" w:rsidRDefault="00CB7F27" w:rsidP="00CB7F27">
      <w:pPr>
        <w:pStyle w:val="Bullet1"/>
        <w:rPr>
          <w:lang w:val="nl-BE"/>
        </w:rPr>
      </w:pPr>
      <w:r w:rsidRPr="00B77F2A">
        <w:rPr>
          <w:lang w:val="nl-BE"/>
        </w:rPr>
        <w:t xml:space="preserve">het op voorhand testen van de elektronische handtekenmodule; </w:t>
      </w:r>
    </w:p>
    <w:p w14:paraId="3A705602" w14:textId="77777777" w:rsidR="00CB7F27" w:rsidRPr="00B77F2A" w:rsidRDefault="00CB7F27" w:rsidP="00CB7F27">
      <w:pPr>
        <w:pStyle w:val="Bullet1"/>
        <w:rPr>
          <w:lang w:val="nl-BE"/>
        </w:rPr>
      </w:pPr>
      <w:r w:rsidRPr="00B77F2A">
        <w:rPr>
          <w:lang w:val="nl-BE"/>
        </w:rPr>
        <w:t xml:space="preserve">wie een ondernemer kan contacteren bij problemen; </w:t>
      </w:r>
    </w:p>
    <w:p w14:paraId="02A065C5" w14:textId="4A7E8CED" w:rsidR="00CB7F27" w:rsidRPr="00B77F2A" w:rsidRDefault="00CB7F27" w:rsidP="00CB7F27">
      <w:pPr>
        <w:pStyle w:val="Bullet1"/>
        <w:rPr>
          <w:lang w:val="nl-BE"/>
        </w:rPr>
      </w:pPr>
      <w:r w:rsidRPr="00B77F2A">
        <w:rPr>
          <w:lang w:val="nl-BE"/>
        </w:rPr>
        <w:t xml:space="preserve">het juridische feit dat de ondertekening van een offerte in het kader van een overheidsopdracht </w:t>
      </w:r>
      <w:r w:rsidRPr="008018B9">
        <w:rPr>
          <w:b/>
          <w:bCs/>
          <w:lang w:val="nl-BE"/>
        </w:rPr>
        <w:t>niet onder de bevoegdheden van dagelijks bestuur valt</w:t>
      </w:r>
      <w:r w:rsidRPr="00B77F2A">
        <w:rPr>
          <w:lang w:val="nl-BE"/>
        </w:rPr>
        <w:t>, zelfs indien expliciet in de statuten van de rechtspersoon i</w:t>
      </w:r>
      <w:r w:rsidR="007B2B27">
        <w:rPr>
          <w:lang w:val="nl-BE"/>
        </w:rPr>
        <w:t>s</w:t>
      </w:r>
      <w:r w:rsidRPr="00B77F2A">
        <w:rPr>
          <w:lang w:val="nl-BE"/>
        </w:rPr>
        <w:t xml:space="preserve"> ingeschreven dat het ondertekenen van een dergelijke offerte wel onder het dagelijks</w:t>
      </w:r>
      <w:r w:rsidR="00587E21">
        <w:rPr>
          <w:lang w:val="nl-BE"/>
        </w:rPr>
        <w:t>e</w:t>
      </w:r>
      <w:r w:rsidRPr="00B77F2A">
        <w:rPr>
          <w:lang w:val="nl-BE"/>
        </w:rPr>
        <w:t xml:space="preserve"> bestuur valt;</w:t>
      </w:r>
    </w:p>
    <w:p w14:paraId="5E6CDE47" w14:textId="77777777" w:rsidR="00CB7F27" w:rsidRPr="00B77F2A" w:rsidRDefault="00CB7F27" w:rsidP="00CB7F27">
      <w:pPr>
        <w:pStyle w:val="Bullet1"/>
        <w:rPr>
          <w:lang w:val="nl-BE"/>
        </w:rPr>
      </w:pPr>
      <w:r w:rsidRPr="00B77F2A">
        <w:rPr>
          <w:lang w:val="nl-BE"/>
        </w:rPr>
        <w:t>een gescande handtekening op een document dat bij de elektronische offerte wordt gevoegd, geen enkele waarde heeft in het licht van de wetgeving overheidsopdrachten.</w:t>
      </w:r>
    </w:p>
    <w:p w14:paraId="11982DFA" w14:textId="77777777" w:rsidR="00CB7F27" w:rsidRPr="000E668C" w:rsidRDefault="00CB7F27" w:rsidP="00CB7F27">
      <w:r>
        <w:t xml:space="preserve">Zeker de laatste twee punten van bovenstaande lijst zijn gekende probleemgevallen. </w:t>
      </w:r>
      <w:r w:rsidRPr="00C26811">
        <w:rPr>
          <w:b/>
          <w:bCs/>
          <w:color w:val="0070C0"/>
        </w:rPr>
        <w:t>Het charter vraagt dan ook dat elke aanbesteder bovenstaande informatie standaard opneemt in het bestek en de opdrachtdocumenten, en er de nodige aandacht op vestigt</w:t>
      </w:r>
      <w:r w:rsidRPr="000B7A5D">
        <w:rPr>
          <w:b/>
          <w:bCs/>
          <w:color w:val="0070C0"/>
        </w:rPr>
        <w:t>.</w:t>
      </w:r>
      <w:r w:rsidRPr="00C26811">
        <w:rPr>
          <w:color w:val="0070C0"/>
        </w:rPr>
        <w:t xml:space="preserve"> </w:t>
      </w:r>
      <w:r>
        <w:t xml:space="preserve">Dat komt zowel de onderneming als de aanbesteder ten goede. </w:t>
      </w:r>
    </w:p>
    <w:p w14:paraId="162894AF" w14:textId="43CCA980" w:rsidR="00CB7F27" w:rsidRDefault="00CB7F27" w:rsidP="00CB7F27">
      <w:r>
        <w:t xml:space="preserve">Voor meer praktische informatie over de elektronische handtekening, zie </w:t>
      </w:r>
      <w:r w:rsidRPr="00865F8C">
        <w:t xml:space="preserve">het </w:t>
      </w:r>
      <w:hyperlink r:id="rId51" w:history="1">
        <w:r w:rsidRPr="000A536B">
          <w:rPr>
            <w:rStyle w:val="Hyperlink"/>
            <w:rFonts w:eastAsia="Lato" w:cs="Lato"/>
          </w:rPr>
          <w:t>helpcentrum</w:t>
        </w:r>
      </w:hyperlink>
      <w:r>
        <w:t xml:space="preserve"> over </w:t>
      </w:r>
      <w:r w:rsidRPr="00865F8C">
        <w:t>e-</w:t>
      </w:r>
      <w:r>
        <w:t>P</w:t>
      </w:r>
      <w:r w:rsidRPr="00865F8C">
        <w:t>rocurement</w:t>
      </w:r>
      <w:r>
        <w:t xml:space="preserve">. </w:t>
      </w:r>
      <w:r w:rsidRPr="00527202">
        <w:t>De informatie over de elektronische handtekening en hoe d</w:t>
      </w:r>
      <w:r>
        <w:t>ie</w:t>
      </w:r>
      <w:r w:rsidRPr="00527202">
        <w:t xml:space="preserve"> dient te worden geëvalueerd zal ook </w:t>
      </w:r>
      <w:r>
        <w:t xml:space="preserve">daar </w:t>
      </w:r>
      <w:r w:rsidR="00380913">
        <w:t>ter beschikking gesteld worden</w:t>
      </w:r>
      <w:r w:rsidRPr="00527202">
        <w:t>.</w:t>
      </w:r>
    </w:p>
    <w:p w14:paraId="1DBFDF6C" w14:textId="5DBF6CBE" w:rsidR="00E40439" w:rsidRPr="00BF1A1F" w:rsidRDefault="00E40439" w:rsidP="00E40439">
      <w:pPr>
        <w:pStyle w:val="Kop3"/>
        <w:rPr>
          <w:rFonts w:eastAsia="Lato"/>
        </w:rPr>
      </w:pPr>
      <w:bookmarkStart w:id="18" w:name="_Toc135839931"/>
      <w:bookmarkStart w:id="19" w:name="_Toc150870535"/>
      <w:r w:rsidRPr="00BF1A1F">
        <w:rPr>
          <w:rFonts w:eastAsia="Lato"/>
        </w:rPr>
        <w:t xml:space="preserve">Telemarc, </w:t>
      </w:r>
      <w:r>
        <w:rPr>
          <w:rFonts w:eastAsia="Lato"/>
        </w:rPr>
        <w:t xml:space="preserve">het </w:t>
      </w:r>
      <w:r w:rsidRPr="00BF1A1F">
        <w:rPr>
          <w:rFonts w:eastAsia="Lato"/>
        </w:rPr>
        <w:t>only once</w:t>
      </w:r>
      <w:r>
        <w:rPr>
          <w:rFonts w:eastAsia="Lato"/>
        </w:rPr>
        <w:t>-principe</w:t>
      </w:r>
      <w:bookmarkEnd w:id="18"/>
      <w:r w:rsidR="00C62822">
        <w:rPr>
          <w:rFonts w:eastAsia="Lato"/>
        </w:rPr>
        <w:t xml:space="preserve"> en eCertis</w:t>
      </w:r>
      <w:bookmarkEnd w:id="19"/>
    </w:p>
    <w:p w14:paraId="64EAEA21" w14:textId="0D6FF564" w:rsidR="00E40439" w:rsidRDefault="00000000" w:rsidP="00E40439">
      <w:hyperlink r:id="rId52" w:history="1">
        <w:r w:rsidR="00E40439" w:rsidRPr="00E40439">
          <w:rPr>
            <w:rStyle w:val="Hyperlink"/>
            <w:rFonts w:eastAsia="Lato" w:cs="Lato"/>
            <w:b/>
            <w:bCs/>
          </w:rPr>
          <w:t>Telemarc</w:t>
        </w:r>
      </w:hyperlink>
      <w:r w:rsidR="00E40439" w:rsidRPr="00E40439">
        <w:t xml:space="preserve"> is een gratis web interface die toegang verleent tot verscheidene authentieke bronnen, waaronder de Nationale Bank en de Kruispuntbank van Ondernemingen</w:t>
      </w:r>
      <w:r w:rsidR="00BF2292">
        <w:t xml:space="preserve"> (KBO)</w:t>
      </w:r>
      <w:r w:rsidR="00E40439" w:rsidRPr="00E40439">
        <w:t xml:space="preserve">. </w:t>
      </w:r>
      <w:r w:rsidR="004A12AD">
        <w:t>Als dusdanig</w:t>
      </w:r>
      <w:r w:rsidR="004A12AD" w:rsidRPr="00E40439">
        <w:t xml:space="preserve"> </w:t>
      </w:r>
      <w:r w:rsidR="00E40439" w:rsidRPr="00E40439">
        <w:t xml:space="preserve">hoeven zes documenten niet langer gevraagd te worden aan de inschrijvende onderneming; via Telemarc kan de aanbestedende overheid ze </w:t>
      </w:r>
      <w:r w:rsidR="00437774">
        <w:t xml:space="preserve">immers </w:t>
      </w:r>
      <w:r w:rsidR="00E40439" w:rsidRPr="00E40439">
        <w:t xml:space="preserve">rechtstreeks raadplegen. </w:t>
      </w:r>
      <w:r w:rsidR="00E40439">
        <w:t>Het betreft:</w:t>
      </w:r>
    </w:p>
    <w:p w14:paraId="2324E129" w14:textId="3435BF89" w:rsidR="00E40439" w:rsidRPr="00B77F2A" w:rsidRDefault="00E40439" w:rsidP="00E40439">
      <w:pPr>
        <w:pStyle w:val="Bullet1"/>
        <w:rPr>
          <w:lang w:val="nl-BE"/>
        </w:rPr>
      </w:pPr>
      <w:r w:rsidRPr="00B77F2A">
        <w:rPr>
          <w:lang w:val="nl-BE"/>
        </w:rPr>
        <w:t>de jaarrekeningen ingediend bij de Nationale Bank</w:t>
      </w:r>
      <w:r w:rsidR="00C57087">
        <w:rPr>
          <w:lang w:val="nl-BE"/>
        </w:rPr>
        <w:t>;</w:t>
      </w:r>
    </w:p>
    <w:p w14:paraId="58DEAE52" w14:textId="54AFE849" w:rsidR="00E40439" w:rsidRPr="00B77F2A" w:rsidRDefault="00E40439" w:rsidP="00E40439">
      <w:pPr>
        <w:pStyle w:val="Bullet1"/>
        <w:rPr>
          <w:lang w:val="nl-BE"/>
        </w:rPr>
      </w:pPr>
      <w:r w:rsidRPr="00B77F2A">
        <w:rPr>
          <w:lang w:val="nl-BE"/>
        </w:rPr>
        <w:lastRenderedPageBreak/>
        <w:t>het attest van aangifte en van betaling van de sociale zekerheidsbijdragen van de RSZ</w:t>
      </w:r>
      <w:r w:rsidR="00C57087">
        <w:rPr>
          <w:lang w:val="nl-BE"/>
        </w:rPr>
        <w:t>;</w:t>
      </w:r>
    </w:p>
    <w:p w14:paraId="71D2641E" w14:textId="4E9B7849" w:rsidR="00E40439" w:rsidRPr="00B77F2A" w:rsidRDefault="00E40439" w:rsidP="00E40439">
      <w:pPr>
        <w:pStyle w:val="Bullet1"/>
        <w:rPr>
          <w:lang w:val="nl-BE"/>
        </w:rPr>
      </w:pPr>
      <w:r w:rsidRPr="00B77F2A">
        <w:rPr>
          <w:lang w:val="nl-BE"/>
        </w:rPr>
        <w:t>het attest van btw-plichtigheid (FOD Financiën)</w:t>
      </w:r>
      <w:r w:rsidR="00C57087">
        <w:rPr>
          <w:lang w:val="nl-BE"/>
        </w:rPr>
        <w:t>;</w:t>
      </w:r>
    </w:p>
    <w:p w14:paraId="2F57B50E" w14:textId="6489F184" w:rsidR="00E40439" w:rsidRPr="00B77F2A" w:rsidRDefault="00E40439" w:rsidP="00E40439">
      <w:pPr>
        <w:pStyle w:val="Bullet1"/>
        <w:rPr>
          <w:lang w:val="nl-BE"/>
        </w:rPr>
      </w:pPr>
      <w:r w:rsidRPr="00B77F2A">
        <w:rPr>
          <w:lang w:val="nl-BE"/>
        </w:rPr>
        <w:t>het attest fiscale schulden (FOD Financiën)</w:t>
      </w:r>
      <w:r w:rsidR="00C57087">
        <w:rPr>
          <w:lang w:val="nl-BE"/>
        </w:rPr>
        <w:t>;</w:t>
      </w:r>
    </w:p>
    <w:p w14:paraId="52C9B220" w14:textId="790CD040" w:rsidR="00E40439" w:rsidRPr="00B77F2A" w:rsidRDefault="00E40439" w:rsidP="00E40439">
      <w:pPr>
        <w:pStyle w:val="Bullet1"/>
        <w:rPr>
          <w:lang w:val="nl-BE"/>
        </w:rPr>
      </w:pPr>
      <w:r w:rsidRPr="00B77F2A">
        <w:rPr>
          <w:lang w:val="nl-BE"/>
        </w:rPr>
        <w:t>de juridische situatie van de ondernemingen (niet-faillissement of soortgelijke situatie) bij de KBO (FOD Economie)</w:t>
      </w:r>
      <w:r w:rsidR="00C57087">
        <w:rPr>
          <w:lang w:val="nl-BE"/>
        </w:rPr>
        <w:t>; en</w:t>
      </w:r>
    </w:p>
    <w:p w14:paraId="1EC35FE0" w14:textId="77777777" w:rsidR="00E40439" w:rsidRPr="00B77F2A" w:rsidRDefault="00E40439" w:rsidP="00E40439">
      <w:pPr>
        <w:pStyle w:val="Bullet1"/>
        <w:rPr>
          <w:lang w:val="nl-BE"/>
        </w:rPr>
      </w:pPr>
      <w:r w:rsidRPr="00B77F2A">
        <w:rPr>
          <w:lang w:val="nl-BE"/>
        </w:rPr>
        <w:t>de erkenning der aannemers van werken (FOD Economie).</w:t>
      </w:r>
    </w:p>
    <w:p w14:paraId="05E91514" w14:textId="5F730BBC" w:rsidR="00C40F1B" w:rsidRDefault="00E40439" w:rsidP="00E40439">
      <w:r w:rsidRPr="00C40F1B">
        <w:rPr>
          <w:b/>
          <w:bCs/>
        </w:rPr>
        <w:t>Het veralgemeend gebruik van Telemarc door aanbesteders is al sinds geruime tijd verplicht</w:t>
      </w:r>
      <w:r w:rsidR="00754A20">
        <w:rPr>
          <w:b/>
          <w:bCs/>
        </w:rPr>
        <w:t xml:space="preserve">: sinds 1 mei 2018 </w:t>
      </w:r>
      <w:r w:rsidR="004D54EA">
        <w:rPr>
          <w:b/>
          <w:bCs/>
        </w:rPr>
        <w:t>moeten aanbesteders over een toegang tot Telemarc beschikken en er gebruik van maken</w:t>
      </w:r>
      <w:r>
        <w:t>.</w:t>
      </w:r>
    </w:p>
    <w:p w14:paraId="608FAB62" w14:textId="10D1A880" w:rsidR="003A46E7" w:rsidRPr="00E8016E" w:rsidRDefault="003A46E7" w:rsidP="003A46E7">
      <w:r>
        <w:t>Het verplicht</w:t>
      </w:r>
      <w:r w:rsidR="007625AD">
        <w:t>e</w:t>
      </w:r>
      <w:r>
        <w:t xml:space="preserve"> gebruik van Telemarc kadert in het wettelijk verankerde only once-principe. Dat</w:t>
      </w:r>
      <w:r w:rsidRPr="00E8016E">
        <w:t xml:space="preserve"> principe </w:t>
      </w:r>
      <w:r>
        <w:t xml:space="preserve">gaat uit </w:t>
      </w:r>
      <w:r w:rsidRPr="00E8016E">
        <w:t xml:space="preserve">van </w:t>
      </w:r>
      <w:r>
        <w:t>een</w:t>
      </w:r>
      <w:r w:rsidRPr="00E8016E">
        <w:t> </w:t>
      </w:r>
      <w:r w:rsidRPr="00EF2A1F">
        <w:rPr>
          <w:b/>
          <w:bCs/>
        </w:rPr>
        <w:t>unieke gegevensinzameling</w:t>
      </w:r>
      <w:r w:rsidRPr="00E8016E">
        <w:t> </w:t>
      </w:r>
      <w:r>
        <w:t>bij</w:t>
      </w:r>
      <w:r w:rsidRPr="00E8016E">
        <w:t xml:space="preserve"> de werking van de diensten en instanties die behoren tot of taken uitvoeren voor de overheid</w:t>
      </w:r>
      <w:r>
        <w:t>.</w:t>
      </w:r>
      <w:r w:rsidRPr="00E8016E">
        <w:t> </w:t>
      </w:r>
    </w:p>
    <w:p w14:paraId="02AEB0C3" w14:textId="77777777" w:rsidR="003A46E7" w:rsidRPr="00E8016E" w:rsidRDefault="003A46E7" w:rsidP="003A46E7">
      <w:r w:rsidRPr="00E8016E">
        <w:t>De wet</w:t>
      </w:r>
      <w:r>
        <w:t xml:space="preserve"> van </w:t>
      </w:r>
      <w:hyperlink r:id="rId53" w:history="1">
        <w:r w:rsidRPr="00D77518">
          <w:rPr>
            <w:rStyle w:val="Hyperlink"/>
          </w:rPr>
          <w:t>5 mei 2014</w:t>
        </w:r>
      </w:hyperlink>
      <w:r>
        <w:t xml:space="preserve"> inzake </w:t>
      </w:r>
      <w:r w:rsidRPr="006F5704">
        <w:t xml:space="preserve">het </w:t>
      </w:r>
      <w:r>
        <w:t>only once-</w:t>
      </w:r>
      <w:r w:rsidRPr="006F5704">
        <w:t xml:space="preserve">principe </w:t>
      </w:r>
      <w:r w:rsidRPr="00E8016E">
        <w:t>heeft als doel om het </w:t>
      </w:r>
      <w:r w:rsidRPr="00EF2A1F">
        <w:rPr>
          <w:b/>
          <w:bCs/>
        </w:rPr>
        <w:t>hergebruik</w:t>
      </w:r>
      <w:r w:rsidRPr="00E8016E">
        <w:t> van gegevens die reeds beschikbaar zijn in authentieke bronnen</w:t>
      </w:r>
      <w:r>
        <w:t>,</w:t>
      </w:r>
      <w:r w:rsidRPr="00E8016E">
        <w:t xml:space="preserve"> in de werking van de federale overheidsdiensten te verankeren en het gebruik te stimuleren van elektronische formulieren door de waarde ervan volledig gelijk te schakelen met papieren formulieren. </w:t>
      </w:r>
    </w:p>
    <w:p w14:paraId="02BFDA5F" w14:textId="77777777" w:rsidR="003A46E7" w:rsidRPr="00E8016E" w:rsidRDefault="003A46E7" w:rsidP="003A46E7">
      <w:r w:rsidRPr="00E8016E">
        <w:t xml:space="preserve">De wet legt aan de federale instanties </w:t>
      </w:r>
      <w:r>
        <w:t xml:space="preserve">onder meer </w:t>
      </w:r>
      <w:r w:rsidRPr="00E8016E">
        <w:t>het verplicht (her)gebruik op van: </w:t>
      </w:r>
    </w:p>
    <w:p w14:paraId="15292477" w14:textId="77777777" w:rsidR="003A46E7" w:rsidRPr="00B77F2A" w:rsidRDefault="003A46E7" w:rsidP="003A46E7">
      <w:pPr>
        <w:pStyle w:val="Bullet1"/>
        <w:rPr>
          <w:lang w:val="nl-BE"/>
        </w:rPr>
      </w:pPr>
      <w:r w:rsidRPr="00B77F2A">
        <w:rPr>
          <w:lang w:val="nl-BE"/>
        </w:rPr>
        <w:t>unieke sleutels (zoals onder andere het rijksregisternummer en het ondernemingsnummer) voor de identificatie van burgers/ondernemingen; </w:t>
      </w:r>
    </w:p>
    <w:p w14:paraId="6668AB4F" w14:textId="77777777" w:rsidR="003A46E7" w:rsidRPr="00B77F2A" w:rsidRDefault="003A46E7" w:rsidP="003A46E7">
      <w:pPr>
        <w:pStyle w:val="Bullet1"/>
        <w:rPr>
          <w:lang w:val="nl-BE"/>
        </w:rPr>
      </w:pPr>
      <w:r w:rsidRPr="00B77F2A">
        <w:rPr>
          <w:lang w:val="nl-BE"/>
        </w:rPr>
        <w:t xml:space="preserve">de informatie uit de diverse databanken (zoals onder meer het Rijksregister en de </w:t>
      </w:r>
      <w:r>
        <w:rPr>
          <w:lang w:val="nl-BE"/>
        </w:rPr>
        <w:t>KBO</w:t>
      </w:r>
      <w:r w:rsidRPr="00B77F2A">
        <w:rPr>
          <w:lang w:val="nl-BE"/>
        </w:rPr>
        <w:t>) die via de dienstenintegratoren toegankelijk zijn, zodat deze gegevens niet meer dienen te worden opgevraagd bij de betrokkene(n).</w:t>
      </w:r>
    </w:p>
    <w:p w14:paraId="5880F638" w14:textId="262C1146" w:rsidR="003A46E7" w:rsidRPr="009B79F4" w:rsidRDefault="003A46E7" w:rsidP="003A46E7">
      <w:r w:rsidRPr="009B79F4">
        <w:t xml:space="preserve">Het only once-principe heeft dus als </w:t>
      </w:r>
      <w:r w:rsidR="00CC370F">
        <w:t>doel</w:t>
      </w:r>
      <w:r w:rsidR="00CC370F" w:rsidRPr="009B79F4">
        <w:t xml:space="preserve"> </w:t>
      </w:r>
      <w:r w:rsidRPr="009B79F4">
        <w:t>te vermijden dat burgers en ondernemingen steeds opnieuw dezelfde (identificatie)gegevens dienen mee te delen in het geval deze gegevens reeds aan een andere administratie werden overgemaakt. </w:t>
      </w:r>
    </w:p>
    <w:p w14:paraId="6672A805" w14:textId="636D4131" w:rsidR="003A46E7" w:rsidRDefault="003A46E7" w:rsidP="003A46E7">
      <w:r w:rsidRPr="00EF2A1F">
        <w:rPr>
          <w:b/>
          <w:bCs/>
        </w:rPr>
        <w:t>Het only once-principe dient ook toegepast te worden door de aanbesteder in het kader van (de wetgeving) overheidsopdrachten</w:t>
      </w:r>
      <w:r>
        <w:t>, waaronder het verplicht</w:t>
      </w:r>
      <w:r w:rsidR="00AE5700">
        <w:t>e</w:t>
      </w:r>
      <w:r>
        <w:t xml:space="preserve"> gebruik van onder meer Telemarc.</w:t>
      </w:r>
    </w:p>
    <w:p w14:paraId="4841DD94" w14:textId="3541D8E1" w:rsidR="00E40439" w:rsidRDefault="00EC11C9" w:rsidP="00E40439">
      <w:r>
        <w:t>In de geest van only once, kan ook naar eCertis verwezen worden</w:t>
      </w:r>
      <w:r w:rsidR="007071D1">
        <w:t xml:space="preserve">. </w:t>
      </w:r>
      <w:hyperlink r:id="rId54" w:history="1">
        <w:r w:rsidR="00E40439" w:rsidRPr="009B252E">
          <w:rPr>
            <w:rStyle w:val="Hyperlink"/>
            <w:rFonts w:eastAsia="Lato" w:cs="Lato"/>
            <w:b/>
            <w:bCs/>
          </w:rPr>
          <w:t>eCertis</w:t>
        </w:r>
      </w:hyperlink>
      <w:r w:rsidR="00E40439" w:rsidRPr="00163D8C">
        <w:t xml:space="preserve"> bevat een overzicht van de meest gebruikte bewijsstukken die </w:t>
      </w:r>
      <w:r w:rsidR="00F268B3">
        <w:t>aanbesteders</w:t>
      </w:r>
      <w:r w:rsidR="00E40439" w:rsidRPr="00163D8C">
        <w:t xml:space="preserve"> in de hele interne markt vragen bij een Europese aanbesteding.</w:t>
      </w:r>
      <w:r w:rsidR="00E40439">
        <w:t xml:space="preserve"> Meer precies betreft het </w:t>
      </w:r>
      <w:r w:rsidR="00E40439" w:rsidRPr="00A01F3F">
        <w:t xml:space="preserve">een onlinedatabank met informatie per </w:t>
      </w:r>
      <w:r w:rsidR="009A09A0">
        <w:t>EU-</w:t>
      </w:r>
      <w:r w:rsidR="00E40439" w:rsidRPr="00A01F3F">
        <w:t>lidstaat</w:t>
      </w:r>
      <w:r w:rsidR="00E40439">
        <w:t xml:space="preserve"> </w:t>
      </w:r>
      <w:r w:rsidR="00E40439" w:rsidRPr="00C04E18">
        <w:t xml:space="preserve">omtrent de vaak aangewende certificaten en bewijsstukken, alsook een lijst per </w:t>
      </w:r>
      <w:r w:rsidR="009A09A0">
        <w:t>EU-</w:t>
      </w:r>
      <w:r w:rsidR="00E40439" w:rsidRPr="00C04E18">
        <w:t xml:space="preserve">lidstaat van databanken met relevante informatie over ondernemers. </w:t>
      </w:r>
    </w:p>
    <w:p w14:paraId="21DE625D" w14:textId="57B845C5" w:rsidR="00E40439" w:rsidRDefault="00E40439" w:rsidP="00E40439">
      <w:r w:rsidRPr="00C04E18">
        <w:t xml:space="preserve">De eCertis databank, die door de lidstaten voortdurend geactualiseerd moet worden, laat toe dat </w:t>
      </w:r>
      <w:r>
        <w:t>aanbesteders</w:t>
      </w:r>
      <w:r w:rsidRPr="00C04E18">
        <w:t xml:space="preserve"> op eenvoudige wijze informatie kunnen bekomen </w:t>
      </w:r>
      <w:r w:rsidR="00E614E4">
        <w:t>over</w:t>
      </w:r>
      <w:r w:rsidR="00E614E4" w:rsidRPr="00C04E18">
        <w:t xml:space="preserve"> </w:t>
      </w:r>
      <w:r w:rsidRPr="00C04E18">
        <w:t>bewijsstukken die worden aangewend door ondernemers die gevestigd zijn in andere lidstaten. De aanbestedende overheden zijn er toe gehouden hoofdzakelijk die typen van certificaten of bewijsstukken verplicht te stellen die in eCertis</w:t>
      </w:r>
      <w:r w:rsidR="00C271C2">
        <w:t xml:space="preserve"> reeds</w:t>
      </w:r>
      <w:r w:rsidRPr="00C04E18">
        <w:t xml:space="preserve"> beschikbaar zijn.</w:t>
      </w:r>
    </w:p>
    <w:p w14:paraId="6B705D54" w14:textId="2C5BE7E2" w:rsidR="00E40439" w:rsidRPr="00C271C2" w:rsidRDefault="00E40439" w:rsidP="00E40439">
      <w:pPr>
        <w:rPr>
          <w:b/>
          <w:bCs/>
        </w:rPr>
      </w:pPr>
      <w:r w:rsidRPr="00C271C2">
        <w:rPr>
          <w:b/>
          <w:bCs/>
        </w:rPr>
        <w:t xml:space="preserve">Aanbesteders zijn </w:t>
      </w:r>
      <w:r w:rsidR="004C65EE">
        <w:rPr>
          <w:b/>
          <w:bCs/>
        </w:rPr>
        <w:t xml:space="preserve">eveneens </w:t>
      </w:r>
      <w:r w:rsidRPr="00C271C2">
        <w:rPr>
          <w:b/>
          <w:bCs/>
        </w:rPr>
        <w:t xml:space="preserve">verplicht gebruik te maken van eCertis. </w:t>
      </w:r>
    </w:p>
    <w:p w14:paraId="6F3A160B" w14:textId="68684EF5" w:rsidR="00886F3C" w:rsidRDefault="00C137E5" w:rsidP="00E40439">
      <w:pPr>
        <w:pStyle w:val="Kop3"/>
        <w:rPr>
          <w:rFonts w:eastAsia="Lato"/>
        </w:rPr>
      </w:pPr>
      <w:bookmarkStart w:id="20" w:name="_Toc150870536"/>
      <w:bookmarkStart w:id="21" w:name="_Toc135839932"/>
      <w:r>
        <w:rPr>
          <w:rFonts w:eastAsia="Lato"/>
        </w:rPr>
        <w:t>Het Uniform Europees Aanbestedingsdocument (UEA)</w:t>
      </w:r>
      <w:bookmarkEnd w:id="20"/>
    </w:p>
    <w:p w14:paraId="7FBA9991" w14:textId="17B9728D" w:rsidR="00BD3A9F" w:rsidRDefault="00107316" w:rsidP="00BD3A9F">
      <w:r>
        <w:t xml:space="preserve">De reden waarom het UEA vermeld wordt onder principe 1 en niet onder het principe over selectiecriteria is </w:t>
      </w:r>
      <w:r w:rsidR="00127C0B">
        <w:t>de volgende</w:t>
      </w:r>
      <w:r>
        <w:t>: het charter wenst niet inhoudelijk stil te staan bij het UEA</w:t>
      </w:r>
      <w:r w:rsidR="009F5F48">
        <w:t>, maar</w:t>
      </w:r>
      <w:r w:rsidR="00A50D08">
        <w:t xml:space="preserve"> wel bij</w:t>
      </w:r>
      <w:r w:rsidR="005B1E32">
        <w:t xml:space="preserve"> onder meer</w:t>
      </w:r>
      <w:r w:rsidR="00A50D08">
        <w:t xml:space="preserve"> het toepassingsgebied </w:t>
      </w:r>
      <w:r w:rsidR="00B66BFC">
        <w:t>en</w:t>
      </w:r>
      <w:r w:rsidR="00A50D08">
        <w:t xml:space="preserve"> </w:t>
      </w:r>
      <w:r w:rsidR="00FF12BF">
        <w:t>de elektronische aard ervan en de link met Telemarc</w:t>
      </w:r>
      <w:r w:rsidR="009172DA">
        <w:t xml:space="preserve">. </w:t>
      </w:r>
    </w:p>
    <w:p w14:paraId="35947171" w14:textId="1174BB61" w:rsidR="009172DA" w:rsidRDefault="0005032D" w:rsidP="00BD3A9F">
      <w:r>
        <w:t>Enkele verduidelijkingen over het UEA:</w:t>
      </w:r>
    </w:p>
    <w:p w14:paraId="5804EF05" w14:textId="64A1BE4E" w:rsidR="000021B6" w:rsidRDefault="000021B6" w:rsidP="009676AC">
      <w:pPr>
        <w:pStyle w:val="Bullet1"/>
        <w:rPr>
          <w:lang w:val="nl-BE"/>
        </w:rPr>
      </w:pPr>
      <w:r w:rsidRPr="000021B6">
        <w:rPr>
          <w:b/>
          <w:bCs/>
          <w:lang w:val="nl-BE"/>
        </w:rPr>
        <w:t>het UEA is niet van toepassing op overheidsopdrachten onder de Europese drempels</w:t>
      </w:r>
      <w:r w:rsidR="00F45687">
        <w:rPr>
          <w:b/>
          <w:bCs/>
          <w:lang w:val="nl-BE"/>
        </w:rPr>
        <w:t xml:space="preserve">. Merken we op dat artikel </w:t>
      </w:r>
      <w:r w:rsidR="002D7B98">
        <w:rPr>
          <w:b/>
          <w:bCs/>
          <w:lang w:val="nl-BE"/>
        </w:rPr>
        <w:t>39</w:t>
      </w:r>
      <w:r w:rsidR="00EA3911">
        <w:rPr>
          <w:b/>
          <w:bCs/>
          <w:lang w:val="nl-BE"/>
        </w:rPr>
        <w:t>, §1, laatste lid</w:t>
      </w:r>
      <w:r w:rsidR="00AF7E5B">
        <w:rPr>
          <w:b/>
          <w:bCs/>
          <w:lang w:val="nl-BE"/>
        </w:rPr>
        <w:t xml:space="preserve">, </w:t>
      </w:r>
      <w:r w:rsidR="00327F89">
        <w:rPr>
          <w:b/>
          <w:bCs/>
          <w:lang w:val="nl-BE"/>
        </w:rPr>
        <w:t xml:space="preserve">van </w:t>
      </w:r>
      <w:r w:rsidR="00FF4776">
        <w:rPr>
          <w:b/>
          <w:bCs/>
          <w:lang w:val="nl-BE"/>
        </w:rPr>
        <w:t xml:space="preserve">het </w:t>
      </w:r>
      <w:r w:rsidR="00327F89">
        <w:rPr>
          <w:b/>
          <w:bCs/>
          <w:lang w:val="nl-BE"/>
        </w:rPr>
        <w:t xml:space="preserve">KB </w:t>
      </w:r>
      <w:hyperlink r:id="rId55" w:anchor="LNK0019" w:history="1">
        <w:r w:rsidR="00327F89" w:rsidRPr="006760FC">
          <w:rPr>
            <w:rStyle w:val="Hyperlink"/>
            <w:b/>
            <w:bCs/>
            <w:lang w:val="nl-BE"/>
          </w:rPr>
          <w:t>Plaatsing</w:t>
        </w:r>
      </w:hyperlink>
      <w:r w:rsidR="00327F89">
        <w:rPr>
          <w:b/>
          <w:bCs/>
          <w:lang w:val="nl-BE"/>
        </w:rPr>
        <w:t xml:space="preserve"> </w:t>
      </w:r>
      <w:r w:rsidR="00AF7E5B">
        <w:rPr>
          <w:b/>
          <w:bCs/>
          <w:lang w:val="nl-BE"/>
        </w:rPr>
        <w:t>een specifiek verbod</w:t>
      </w:r>
      <w:r w:rsidR="005D51A3">
        <w:rPr>
          <w:b/>
          <w:bCs/>
          <w:lang w:val="nl-BE"/>
        </w:rPr>
        <w:t xml:space="preserve"> daarop bevat</w:t>
      </w:r>
      <w:r>
        <w:rPr>
          <w:lang w:val="nl-BE"/>
        </w:rPr>
        <w:t>;</w:t>
      </w:r>
    </w:p>
    <w:p w14:paraId="29DB036F" w14:textId="5A784C7B" w:rsidR="00447A45" w:rsidRDefault="00447A45" w:rsidP="009676AC">
      <w:pPr>
        <w:pStyle w:val="Bullet1"/>
        <w:rPr>
          <w:lang w:val="nl-BE"/>
        </w:rPr>
      </w:pPr>
      <w:r>
        <w:rPr>
          <w:lang w:val="nl-BE"/>
        </w:rPr>
        <w:t>aanbesteders zijn verplicht om</w:t>
      </w:r>
      <w:r w:rsidRPr="00447A45">
        <w:rPr>
          <w:lang w:val="nl-BE"/>
        </w:rPr>
        <w:t xml:space="preserve"> in de aankondiging van opdracht of in de opdrachtdocumenten de</w:t>
      </w:r>
      <w:r w:rsidR="008D2598">
        <w:rPr>
          <w:lang w:val="nl-BE"/>
        </w:rPr>
        <w:t xml:space="preserve"> nodige</w:t>
      </w:r>
      <w:r w:rsidRPr="00447A45">
        <w:rPr>
          <w:lang w:val="nl-BE"/>
        </w:rPr>
        <w:t xml:space="preserve"> richtsnoeren </w:t>
      </w:r>
      <w:r w:rsidR="008D2598">
        <w:rPr>
          <w:lang w:val="nl-BE"/>
        </w:rPr>
        <w:t xml:space="preserve">te voorzien </w:t>
      </w:r>
      <w:r w:rsidRPr="00447A45">
        <w:rPr>
          <w:lang w:val="nl-BE"/>
        </w:rPr>
        <w:t>die toelaten het UEA in te vullen</w:t>
      </w:r>
      <w:r w:rsidR="008D2598">
        <w:rPr>
          <w:lang w:val="nl-BE"/>
        </w:rPr>
        <w:t>;</w:t>
      </w:r>
    </w:p>
    <w:p w14:paraId="0F056FAD" w14:textId="6D74AFCE" w:rsidR="0005032D" w:rsidRDefault="009676AC" w:rsidP="009676AC">
      <w:pPr>
        <w:pStyle w:val="Bullet1"/>
        <w:rPr>
          <w:lang w:val="nl-BE"/>
        </w:rPr>
      </w:pPr>
      <w:r>
        <w:rPr>
          <w:lang w:val="nl-BE"/>
        </w:rPr>
        <w:t>o</w:t>
      </w:r>
      <w:r w:rsidRPr="000021B6">
        <w:rPr>
          <w:lang w:val="nl-BE"/>
        </w:rPr>
        <w:t xml:space="preserve">ndernemers kunnen het reeds in een vorige overheidsopdrachtenprocedure gebruikte </w:t>
      </w:r>
      <w:r w:rsidR="0024486E">
        <w:rPr>
          <w:lang w:val="nl-BE"/>
        </w:rPr>
        <w:t>UEA</w:t>
      </w:r>
      <w:r w:rsidRPr="000021B6">
        <w:rPr>
          <w:lang w:val="nl-BE"/>
        </w:rPr>
        <w:t xml:space="preserve"> opnieuw gebruiken, mits zij bevestigen dat de daarin opgenomen gegevens nog steeds correct zijn</w:t>
      </w:r>
      <w:r>
        <w:rPr>
          <w:lang w:val="nl-BE"/>
        </w:rPr>
        <w:t>;</w:t>
      </w:r>
    </w:p>
    <w:p w14:paraId="28FCF4FC" w14:textId="495423AA" w:rsidR="009676AC" w:rsidRDefault="0002666B" w:rsidP="009676AC">
      <w:pPr>
        <w:pStyle w:val="Bullet1"/>
        <w:rPr>
          <w:lang w:val="nl-BE"/>
        </w:rPr>
      </w:pPr>
      <w:r>
        <w:rPr>
          <w:lang w:val="nl-BE"/>
        </w:rPr>
        <w:lastRenderedPageBreak/>
        <w:t xml:space="preserve">het UEA </w:t>
      </w:r>
      <w:r w:rsidRPr="0002666B">
        <w:rPr>
          <w:lang w:val="nl-BE"/>
        </w:rPr>
        <w:t>wordt uitsluitend in elektronische vorm verstrekt</w:t>
      </w:r>
      <w:r>
        <w:rPr>
          <w:lang w:val="nl-BE"/>
        </w:rPr>
        <w:t>;</w:t>
      </w:r>
    </w:p>
    <w:p w14:paraId="4353CA51" w14:textId="0AA4D72B" w:rsidR="00674916" w:rsidRDefault="00674916" w:rsidP="009676AC">
      <w:pPr>
        <w:pStyle w:val="Bullet1"/>
        <w:rPr>
          <w:lang w:val="nl-BE"/>
        </w:rPr>
      </w:pPr>
      <w:r>
        <w:rPr>
          <w:lang w:val="nl-BE"/>
        </w:rPr>
        <w:t>ook in het kader van het UEA moet het only once-principe toegepast worden en van Telemarc gebruikt gemaakt worden</w:t>
      </w:r>
      <w:r w:rsidR="00FD238E">
        <w:rPr>
          <w:lang w:val="nl-BE"/>
        </w:rPr>
        <w:t xml:space="preserve">. </w:t>
      </w:r>
      <w:r w:rsidR="00A31CB7">
        <w:rPr>
          <w:lang w:val="nl-BE"/>
        </w:rPr>
        <w:t>Ter info: d</w:t>
      </w:r>
      <w:r w:rsidR="00FD238E" w:rsidRPr="00FD238E">
        <w:rPr>
          <w:lang w:val="nl-BE"/>
        </w:rPr>
        <w:t xml:space="preserve">e UEA-service is gekoppeld met MyTelemarc. </w:t>
      </w:r>
      <w:r w:rsidR="00FD238E">
        <w:rPr>
          <w:lang w:val="nl-BE"/>
        </w:rPr>
        <w:t>Een</w:t>
      </w:r>
      <w:r w:rsidR="00FD238E" w:rsidRPr="00FD238E">
        <w:rPr>
          <w:lang w:val="nl-BE"/>
        </w:rPr>
        <w:t xml:space="preserve"> onderneming kan mits authenticatie, links naar bepaalde attesten (fiscale schulden, betaling van de sociale zekerheidsbijdragen, niet-faillissement, ...) automatisch laten invullen in het UEA.</w:t>
      </w:r>
    </w:p>
    <w:p w14:paraId="5FE3B441" w14:textId="1EAFC69A" w:rsidR="00A31CB7" w:rsidRDefault="00D71595" w:rsidP="00A31CB7">
      <w:r w:rsidRPr="00D71595">
        <w:t xml:space="preserve">In het </w:t>
      </w:r>
      <w:r>
        <w:t>nieuwe</w:t>
      </w:r>
      <w:r w:rsidRPr="00D71595">
        <w:t xml:space="preserve"> e-Procurement platform </w:t>
      </w:r>
      <w:r w:rsidR="00DF1F45">
        <w:t>zal</w:t>
      </w:r>
      <w:r w:rsidRPr="00D71595">
        <w:t xml:space="preserve"> de UEA-dienst volledig geïntegreerd</w:t>
      </w:r>
      <w:r w:rsidR="00DF1F45">
        <w:t xml:space="preserve"> worden</w:t>
      </w:r>
      <w:r w:rsidRPr="00D71595">
        <w:t>.</w:t>
      </w:r>
    </w:p>
    <w:p w14:paraId="152A1649" w14:textId="77777777" w:rsidR="00B02859" w:rsidRDefault="00B02859" w:rsidP="00A31CB7">
      <w:r>
        <w:t>Voor meer informatie over het UEA, zie onder meer:</w:t>
      </w:r>
    </w:p>
    <w:p w14:paraId="0FECAAF7" w14:textId="3C7D891F" w:rsidR="00301D25" w:rsidRPr="00653883" w:rsidRDefault="00301D25" w:rsidP="000021B6">
      <w:pPr>
        <w:pStyle w:val="Bullet1"/>
        <w:rPr>
          <w:lang w:val="nl-BE"/>
        </w:rPr>
      </w:pPr>
      <w:r>
        <w:rPr>
          <w:lang w:val="nl-BE"/>
        </w:rPr>
        <w:t xml:space="preserve">artikel </w:t>
      </w:r>
      <w:r w:rsidR="00EC6706">
        <w:rPr>
          <w:lang w:val="nl-BE"/>
        </w:rPr>
        <w:t>73 van de wet</w:t>
      </w:r>
      <w:r w:rsidR="004F1E64">
        <w:rPr>
          <w:lang w:val="nl-BE"/>
        </w:rPr>
        <w:t xml:space="preserve"> </w:t>
      </w:r>
      <w:hyperlink r:id="rId56" w:anchor="LNK0089" w:history="1">
        <w:r w:rsidR="004F1E64" w:rsidRPr="00506CD7">
          <w:rPr>
            <w:rStyle w:val="Hyperlink"/>
            <w:lang w:val="nl-BE"/>
          </w:rPr>
          <w:t>overheidsopdrachten</w:t>
        </w:r>
      </w:hyperlink>
      <w:r w:rsidR="004F1E64">
        <w:rPr>
          <w:lang w:val="nl-BE"/>
        </w:rPr>
        <w:t xml:space="preserve"> en </w:t>
      </w:r>
      <w:r w:rsidR="00A14263">
        <w:rPr>
          <w:lang w:val="nl-BE"/>
        </w:rPr>
        <w:t>artikels</w:t>
      </w:r>
      <w:r w:rsidR="003920AA">
        <w:rPr>
          <w:lang w:val="nl-BE"/>
        </w:rPr>
        <w:t xml:space="preserve"> 38-39 van het KB </w:t>
      </w:r>
      <w:r w:rsidR="006760FC" w:rsidRPr="006760FC">
        <w:rPr>
          <w:lang w:val="nl-BE"/>
        </w:rPr>
        <w:t>Plaatsing</w:t>
      </w:r>
      <w:r w:rsidR="00653883">
        <w:rPr>
          <w:lang w:val="nl-BE"/>
        </w:rPr>
        <w:t>;</w:t>
      </w:r>
    </w:p>
    <w:p w14:paraId="236C95C0" w14:textId="36E07D5D" w:rsidR="00B02859" w:rsidRPr="00A31CB7" w:rsidRDefault="00000000" w:rsidP="000021B6">
      <w:pPr>
        <w:pStyle w:val="Bullet1"/>
        <w:rPr>
          <w:lang w:val="nl-BE"/>
        </w:rPr>
      </w:pPr>
      <w:hyperlink r:id="rId57" w:history="1">
        <w:r w:rsidR="00301D25" w:rsidRPr="00301D25">
          <w:rPr>
            <w:rStyle w:val="Hyperlink"/>
            <w:lang w:val="nl-BE"/>
          </w:rPr>
          <w:t>https://bosa.belgium.be/nl/applications/uniform-europees-aanbestedingsdocument-uea</w:t>
        </w:r>
      </w:hyperlink>
      <w:r w:rsidR="00BE2F6A" w:rsidRPr="000021B6">
        <w:rPr>
          <w:lang w:val="nl-BE"/>
        </w:rPr>
        <w:t xml:space="preserve"> </w:t>
      </w:r>
    </w:p>
    <w:p w14:paraId="5ECAAC60" w14:textId="7B3AE1A9" w:rsidR="00E40439" w:rsidRDefault="00E40439" w:rsidP="00E40439">
      <w:pPr>
        <w:pStyle w:val="Kop3"/>
        <w:rPr>
          <w:rFonts w:eastAsia="Lato"/>
        </w:rPr>
      </w:pPr>
      <w:bookmarkStart w:id="22" w:name="_Toc150870537"/>
      <w:r>
        <w:rPr>
          <w:rFonts w:eastAsia="Lato"/>
        </w:rPr>
        <w:t>Federale omzendbrief e-Procurement</w:t>
      </w:r>
      <w:bookmarkEnd w:id="21"/>
      <w:r w:rsidR="00157498">
        <w:rPr>
          <w:rFonts w:eastAsia="Lato"/>
        </w:rPr>
        <w:t>: opheffing</w:t>
      </w:r>
      <w:bookmarkEnd w:id="22"/>
    </w:p>
    <w:p w14:paraId="7703CFC2" w14:textId="60008461" w:rsidR="00AC1B50" w:rsidRPr="001B4AE9" w:rsidRDefault="00F726CA" w:rsidP="00AC1B50">
      <w:r w:rsidRPr="001B4AE9">
        <w:t>P</w:t>
      </w:r>
      <w:r w:rsidR="00A54C05" w:rsidRPr="001B4AE9">
        <w:t xml:space="preserve">arallel </w:t>
      </w:r>
      <w:r w:rsidRPr="001B4AE9">
        <w:t>aan</w:t>
      </w:r>
      <w:r w:rsidR="00A54C05" w:rsidRPr="001B4AE9">
        <w:t xml:space="preserve"> de goedkeuring van</w:t>
      </w:r>
      <w:r w:rsidR="00AC1B50" w:rsidRPr="001B4AE9">
        <w:t xml:space="preserve"> dit charter werd </w:t>
      </w:r>
      <w:r w:rsidR="00A54C05" w:rsidRPr="001B4AE9">
        <w:t xml:space="preserve">door de Ministerraad </w:t>
      </w:r>
      <w:r w:rsidR="00AC1B50" w:rsidRPr="001B4AE9">
        <w:t xml:space="preserve">de omzendbrief van 30 november 2012 getiteld </w:t>
      </w:r>
      <w:r w:rsidR="00AC1B50" w:rsidRPr="001B4AE9">
        <w:rPr>
          <w:i/>
          <w:iCs/>
        </w:rPr>
        <w:t>Omzendbrief P&amp;O/2012/e-Proc.— Overheidsopdrachten – Gebruik van de e-Procurement-toepassingen door de diensten van de federale Staat</w:t>
      </w:r>
      <w:r w:rsidR="00AC1B50" w:rsidRPr="001B4AE9">
        <w:t xml:space="preserve"> </w:t>
      </w:r>
      <w:r w:rsidR="00AC1B50" w:rsidRPr="000B7A5D">
        <w:rPr>
          <w:b/>
          <w:bCs/>
        </w:rPr>
        <w:t>opgeheven</w:t>
      </w:r>
      <w:r w:rsidR="00AC1B50" w:rsidRPr="001B4AE9">
        <w:t>. Dat omwille van volgende twee redenen:</w:t>
      </w:r>
    </w:p>
    <w:p w14:paraId="68463947" w14:textId="082C6914" w:rsidR="00AC1B50" w:rsidRPr="001B4AE9" w:rsidRDefault="00AC1B50" w:rsidP="00B87450">
      <w:pPr>
        <w:pStyle w:val="Lijstnummering"/>
      </w:pPr>
      <w:r w:rsidRPr="001B4AE9">
        <w:t xml:space="preserve">Op wettelijk </w:t>
      </w:r>
      <w:r w:rsidR="007F28A0" w:rsidRPr="001B4AE9">
        <w:t xml:space="preserve">en </w:t>
      </w:r>
      <w:r w:rsidRPr="001B4AE9">
        <w:t xml:space="preserve">inhoudelijk vlak was de omzendbrief </w:t>
      </w:r>
      <w:r w:rsidR="00470AEE" w:rsidRPr="001B4AE9">
        <w:t>achter</w:t>
      </w:r>
      <w:r w:rsidRPr="001B4AE9">
        <w:t xml:space="preserve">haald door nieuwe wettelijke bepalingen die soms verder gaan dan wat gevraagd werd in de omzendbrief. </w:t>
      </w:r>
    </w:p>
    <w:p w14:paraId="69103B52" w14:textId="1578E928" w:rsidR="00AC1B50" w:rsidRPr="001B4AE9" w:rsidRDefault="00AC1B50" w:rsidP="00B87450">
      <w:pPr>
        <w:pStyle w:val="Lijstnummering"/>
      </w:pPr>
      <w:r w:rsidRPr="001B4AE9">
        <w:t xml:space="preserve">Op technisch vlak was de omzendbrief </w:t>
      </w:r>
      <w:r w:rsidR="00470AEE" w:rsidRPr="001B4AE9">
        <w:t xml:space="preserve">eveneens </w:t>
      </w:r>
      <w:r w:rsidRPr="001B4AE9">
        <w:t xml:space="preserve">achterhaald sinds de lancering van het vernieuwde e-Procurement op 4 september 2023. Zo bestaan de diverse modules waarvan sprake in de omzendbrief niet meer. </w:t>
      </w:r>
    </w:p>
    <w:p w14:paraId="590A0D69" w14:textId="31B3E363" w:rsidR="00BE071C" w:rsidRPr="002D28B0" w:rsidRDefault="00AC1B50" w:rsidP="00AC1B50">
      <w:r w:rsidRPr="001B4AE9">
        <w:t>Ter info: de FOD BOSA zal in 2024 een nieuwe omzendbrief publiceren over het gebruik van het vernieuwde e-Procurement.</w:t>
      </w:r>
    </w:p>
    <w:p w14:paraId="67CAE7CD" w14:textId="77777777" w:rsidR="00437C23" w:rsidRPr="009069A3" w:rsidRDefault="00437C23">
      <w:pPr>
        <w:pStyle w:val="Kop2"/>
      </w:pPr>
      <w:bookmarkStart w:id="23" w:name="_Toc135839933"/>
      <w:bookmarkStart w:id="24" w:name="_Toc150870538"/>
      <w:r>
        <w:t>Richtlijnen en instructies</w:t>
      </w:r>
      <w:bookmarkEnd w:id="23"/>
      <w:bookmarkEnd w:id="24"/>
    </w:p>
    <w:p w14:paraId="059C0AB4" w14:textId="06C57811" w:rsidR="002E4191" w:rsidRPr="00110625" w:rsidRDefault="002E4191" w:rsidP="00110625">
      <w:pPr>
        <w:pStyle w:val="Lijstnummering"/>
        <w:numPr>
          <w:ilvl w:val="0"/>
          <w:numId w:val="48"/>
        </w:numPr>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nl-NL"/>
        </w:rPr>
      </w:pPr>
      <w:r w:rsidRPr="00110625">
        <w:rPr>
          <w:rFonts w:eastAsia="Lato"/>
          <w:lang w:val="nl-NL"/>
        </w:rPr>
        <w:t>Maak maximaal gebruik van de mogelijkheden inzake elektronische (communicatie)middelen, d</w:t>
      </w:r>
      <w:r w:rsidR="00BA094E" w:rsidRPr="00110625">
        <w:rPr>
          <w:rFonts w:eastAsia="Lato"/>
          <w:lang w:val="nl-NL"/>
        </w:rPr>
        <w:t>a</w:t>
      </w:r>
      <w:r w:rsidRPr="00110625">
        <w:rPr>
          <w:rFonts w:eastAsia="Lato"/>
          <w:lang w:val="nl-NL"/>
        </w:rPr>
        <w:t xml:space="preserve">t komt  de efficiëntie, transparantie en het duurzame karakter van plaatsingsprocedures en de mededinging ten goede. Als absoluut minimum gelden de wettelijke verplichtingen over het gebruik van elektronische </w:t>
      </w:r>
      <w:r w:rsidR="00806EB4" w:rsidRPr="00110625">
        <w:rPr>
          <w:rFonts w:eastAsia="Lato"/>
          <w:lang w:val="nl-NL"/>
        </w:rPr>
        <w:t>(communicatie)</w:t>
      </w:r>
      <w:r w:rsidRPr="00110625">
        <w:rPr>
          <w:rFonts w:eastAsia="Lato"/>
          <w:lang w:val="nl-NL"/>
        </w:rPr>
        <w:t xml:space="preserve">middelen in het kader van overheidsopdrachten. </w:t>
      </w:r>
    </w:p>
    <w:p w14:paraId="4E5356E2" w14:textId="312420C6" w:rsidR="002E4191" w:rsidRPr="00D931C9" w:rsidRDefault="002E4191">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nl-NL"/>
        </w:rPr>
      </w:pPr>
      <w:r>
        <w:rPr>
          <w:rFonts w:eastAsia="Lato"/>
          <w:lang w:val="nl-NL"/>
        </w:rPr>
        <w:t xml:space="preserve">Volg in het kader van overheidsopdrachten de nieuwe (niet-)reglementaire ontwikkelingen in verband met elektronische (communicatie)middelen </w:t>
      </w:r>
      <w:r w:rsidR="00F87045">
        <w:rPr>
          <w:rFonts w:eastAsia="Lato"/>
          <w:lang w:val="nl-NL"/>
        </w:rPr>
        <w:t xml:space="preserve">van nabij </w:t>
      </w:r>
      <w:r>
        <w:rPr>
          <w:rFonts w:eastAsia="Lato"/>
          <w:lang w:val="nl-NL"/>
        </w:rPr>
        <w:t xml:space="preserve">op, bijvoorbeeld over de toekomstige toepassingen </w:t>
      </w:r>
      <w:r w:rsidR="006F1731">
        <w:rPr>
          <w:rFonts w:eastAsia="Lato"/>
          <w:lang w:val="nl-NL"/>
        </w:rPr>
        <w:t>van</w:t>
      </w:r>
      <w:r w:rsidR="009F620F">
        <w:rPr>
          <w:rFonts w:eastAsia="Lato"/>
          <w:lang w:val="nl-NL"/>
        </w:rPr>
        <w:t xml:space="preserve"> </w:t>
      </w:r>
      <w:r>
        <w:rPr>
          <w:rFonts w:eastAsia="Lato"/>
          <w:lang w:val="nl-NL"/>
        </w:rPr>
        <w:t xml:space="preserve">het vernieuwde e-Procurement. Schrijf </w:t>
      </w:r>
      <w:r w:rsidR="008C1E1E">
        <w:rPr>
          <w:rFonts w:eastAsia="Lato"/>
          <w:lang w:val="nl-NL"/>
        </w:rPr>
        <w:t>u</w:t>
      </w:r>
      <w:r>
        <w:rPr>
          <w:rFonts w:eastAsia="Lato"/>
          <w:lang w:val="nl-NL"/>
        </w:rPr>
        <w:t xml:space="preserve"> onder meer in op de </w:t>
      </w:r>
      <w:hyperlink r:id="rId58" w:history="1">
        <w:r w:rsidRPr="006B61B3">
          <w:rPr>
            <w:rStyle w:val="Hyperlink"/>
            <w:rFonts w:eastAsia="Lato" w:cs="Lato"/>
            <w:lang w:val="nl-NL"/>
          </w:rPr>
          <w:t>nieuwsbrief</w:t>
        </w:r>
      </w:hyperlink>
      <w:r>
        <w:rPr>
          <w:rFonts w:eastAsia="Lato"/>
          <w:lang w:val="nl-NL"/>
        </w:rPr>
        <w:t xml:space="preserve"> van de FOD BOSA over de thema’s “overheidsopdrachten” en “digitale overheid”. </w:t>
      </w:r>
      <w:r w:rsidRPr="00D931C9">
        <w:rPr>
          <w:rFonts w:eastAsia="Lato"/>
          <w:lang w:val="nl-NL"/>
        </w:rPr>
        <w:t xml:space="preserve">  </w:t>
      </w:r>
    </w:p>
    <w:p w14:paraId="6E38FE7B" w14:textId="6D28F3A4" w:rsidR="002E4191" w:rsidRPr="0008004C" w:rsidRDefault="002E4191">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nl-NL"/>
        </w:rPr>
      </w:pPr>
      <w:r>
        <w:rPr>
          <w:rFonts w:eastAsia="Lato"/>
          <w:lang w:val="nl-NL"/>
        </w:rPr>
        <w:t xml:space="preserve">Maak zoveel als mogelijk gebruik van die extra mogelijkheden aangeboden door onder meer e-Procurement. Denk daarbij aan bijvoorbeeld het online forum om communicatie tussen ondernemers en aanbestedende </w:t>
      </w:r>
      <w:r w:rsidRPr="00CA7A8C">
        <w:rPr>
          <w:rFonts w:eastAsia="Lato"/>
          <w:lang w:val="nl-NL"/>
        </w:rPr>
        <w:t>overheden te bestendigen en aan de visitekaartjes van de ondernemingen. Zie ook de principes</w:t>
      </w:r>
      <w:r w:rsidR="002F7396" w:rsidRPr="00CA7A8C">
        <w:rPr>
          <w:rFonts w:eastAsia="Lato"/>
          <w:lang w:val="nl-NL"/>
        </w:rPr>
        <w:t xml:space="preserve"> </w:t>
      </w:r>
      <w:r w:rsidR="002F7396" w:rsidRPr="00CA7A8C">
        <w:t xml:space="preserve">2, 4, </w:t>
      </w:r>
      <w:r w:rsidR="00EC65D0" w:rsidRPr="00CA7A8C">
        <w:t>8</w:t>
      </w:r>
      <w:r w:rsidR="002F7396" w:rsidRPr="00CA7A8C">
        <w:t xml:space="preserve">, 10 en 11 </w:t>
      </w:r>
      <w:r w:rsidRPr="00CA7A8C">
        <w:rPr>
          <w:rFonts w:eastAsia="Lato"/>
          <w:lang w:val="nl-NL"/>
        </w:rPr>
        <w:t xml:space="preserve"> van</w:t>
      </w:r>
      <w:r>
        <w:rPr>
          <w:rFonts w:eastAsia="Lato"/>
          <w:lang w:val="nl-NL"/>
        </w:rPr>
        <w:t xml:space="preserve"> dit charter voor het gebruik van de </w:t>
      </w:r>
      <w:r w:rsidR="00916128">
        <w:rPr>
          <w:rFonts w:eastAsia="Lato"/>
          <w:lang w:val="nl-NL"/>
        </w:rPr>
        <w:t>(</w:t>
      </w:r>
      <w:r>
        <w:rPr>
          <w:rFonts w:eastAsia="Lato"/>
          <w:lang w:val="nl-NL"/>
        </w:rPr>
        <w:t>extra</w:t>
      </w:r>
      <w:r w:rsidR="00916128">
        <w:rPr>
          <w:rFonts w:eastAsia="Lato"/>
          <w:lang w:val="nl-NL"/>
        </w:rPr>
        <w:t>)</w:t>
      </w:r>
      <w:r>
        <w:rPr>
          <w:rFonts w:eastAsia="Lato"/>
          <w:lang w:val="nl-NL"/>
        </w:rPr>
        <w:t xml:space="preserve"> toepassingen van e-Procurement. </w:t>
      </w:r>
    </w:p>
    <w:p w14:paraId="1B87A17B" w14:textId="69CBC2CC" w:rsidR="002E4191" w:rsidRPr="00574411" w:rsidRDefault="002E4191">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nl-NL"/>
        </w:rPr>
      </w:pPr>
      <w:r>
        <w:rPr>
          <w:rFonts w:eastAsia="Lato"/>
          <w:lang w:val="nl-NL"/>
        </w:rPr>
        <w:t xml:space="preserve">Geef richtlijnen mee in de opdrachtdocumenten om </w:t>
      </w:r>
      <w:r w:rsidR="00060249">
        <w:rPr>
          <w:rFonts w:eastAsia="Lato"/>
          <w:lang w:val="nl-NL"/>
        </w:rPr>
        <w:t>e-</w:t>
      </w:r>
      <w:r>
        <w:rPr>
          <w:rFonts w:eastAsia="Lato"/>
          <w:lang w:val="nl-NL"/>
        </w:rPr>
        <w:t xml:space="preserve">facturatie en een correcte toepassing van de elektronische </w:t>
      </w:r>
      <w:r w:rsidRPr="00574411">
        <w:rPr>
          <w:rFonts w:eastAsia="Lato"/>
          <w:lang w:val="nl-NL"/>
        </w:rPr>
        <w:t>handtekening</w:t>
      </w:r>
      <w:r>
        <w:rPr>
          <w:rFonts w:eastAsia="Lato"/>
          <w:lang w:val="nl-NL"/>
        </w:rPr>
        <w:t xml:space="preserve"> te ondersteunen. Wijs bij die laatste zeker op de gekende probleemgevallen “dagelijks bestuur” en “ingescande handtekening”. </w:t>
      </w:r>
      <w:r w:rsidR="00716066">
        <w:rPr>
          <w:rFonts w:eastAsia="Lato"/>
          <w:lang w:val="nl-NL"/>
        </w:rPr>
        <w:t xml:space="preserve">Wees </w:t>
      </w:r>
      <w:r w:rsidR="00105BE1">
        <w:rPr>
          <w:rFonts w:eastAsia="Lato"/>
          <w:lang w:val="nl-NL"/>
        </w:rPr>
        <w:t xml:space="preserve">ook </w:t>
      </w:r>
      <w:r w:rsidR="00716066">
        <w:rPr>
          <w:rFonts w:eastAsia="Lato"/>
          <w:lang w:val="nl-NL"/>
        </w:rPr>
        <w:t xml:space="preserve">aandachtig voor de </w:t>
      </w:r>
      <w:r w:rsidR="002F7D82">
        <w:rPr>
          <w:rFonts w:eastAsia="Lato"/>
          <w:lang w:val="nl-NL"/>
        </w:rPr>
        <w:t>toekomstige</w:t>
      </w:r>
      <w:r w:rsidR="00716066">
        <w:rPr>
          <w:rFonts w:eastAsia="Lato"/>
          <w:lang w:val="nl-NL"/>
        </w:rPr>
        <w:t xml:space="preserve"> update van de reglementering inzake </w:t>
      </w:r>
      <w:r w:rsidR="00332F1C">
        <w:rPr>
          <w:rFonts w:eastAsia="Lato"/>
          <w:lang w:val="nl-NL"/>
        </w:rPr>
        <w:t xml:space="preserve">onder meer </w:t>
      </w:r>
      <w:r w:rsidR="00716066">
        <w:rPr>
          <w:rFonts w:eastAsia="Lato"/>
          <w:lang w:val="nl-NL"/>
        </w:rPr>
        <w:t xml:space="preserve">de mogelijkheid </w:t>
      </w:r>
      <w:r w:rsidR="002F1516">
        <w:rPr>
          <w:rFonts w:eastAsia="Lato"/>
          <w:lang w:val="nl-NL"/>
        </w:rPr>
        <w:t xml:space="preserve">en verplichting </w:t>
      </w:r>
      <w:r w:rsidR="00716066">
        <w:rPr>
          <w:rFonts w:eastAsia="Lato"/>
          <w:lang w:val="nl-NL"/>
        </w:rPr>
        <w:t xml:space="preserve">tot regularisatie bij een elektronische handtekening. </w:t>
      </w:r>
    </w:p>
    <w:p w14:paraId="6EAF04FA" w14:textId="45EF52E5" w:rsidR="00C40037" w:rsidRDefault="002E4191">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nl-NL"/>
        </w:rPr>
      </w:pPr>
      <w:r>
        <w:rPr>
          <w:rFonts w:eastAsia="Lato"/>
          <w:lang w:val="nl-NL"/>
        </w:rPr>
        <w:t xml:space="preserve">Pas het only once-principe toe: </w:t>
      </w:r>
      <w:r w:rsidRPr="0054063D">
        <w:rPr>
          <w:rFonts w:eastAsia="Lato"/>
          <w:b/>
          <w:bCs/>
          <w:lang w:val="nl-NL"/>
        </w:rPr>
        <w:t>gebruik Telemarc</w:t>
      </w:r>
      <w:r>
        <w:rPr>
          <w:rFonts w:eastAsia="Lato"/>
          <w:lang w:val="nl-NL"/>
        </w:rPr>
        <w:t xml:space="preserve"> om documenten op te vragen en ga na waar in het aankoopproces het hergebruik van gegevens versterkt kan worden.</w:t>
      </w:r>
    </w:p>
    <w:p w14:paraId="3D4ABBA2" w14:textId="4A7DD555" w:rsidR="002E4191" w:rsidRPr="0008004C" w:rsidRDefault="00043939">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lang w:val="nl-NL"/>
        </w:rPr>
      </w:pPr>
      <w:r w:rsidRPr="0054063D">
        <w:rPr>
          <w:rFonts w:eastAsia="Lato"/>
          <w:b/>
          <w:bCs/>
          <w:lang w:val="nl-NL"/>
        </w:rPr>
        <w:t>Hou u als aanbesteder strikt aan het toepassingsgebied van het UEA en vraag het dus niet voor opdrachten onder de Europese drempels</w:t>
      </w:r>
      <w:r>
        <w:rPr>
          <w:rFonts w:eastAsia="Lato"/>
          <w:lang w:val="nl-NL"/>
        </w:rPr>
        <w:t>. Voorzie ook de nodige richtsnoeren voor</w:t>
      </w:r>
      <w:r w:rsidR="0074067E">
        <w:rPr>
          <w:rFonts w:eastAsia="Lato"/>
          <w:lang w:val="nl-NL"/>
        </w:rPr>
        <w:t xml:space="preserve"> de onderneming die toelaten het UEA correct in te vullen. </w:t>
      </w:r>
      <w:r w:rsidR="002E4191">
        <w:rPr>
          <w:rFonts w:eastAsia="Lato"/>
          <w:lang w:val="nl-NL"/>
        </w:rPr>
        <w:t xml:space="preserve"> </w:t>
      </w:r>
    </w:p>
    <w:p w14:paraId="6EEE7911" w14:textId="63C8B4EB" w:rsidR="005D4EB7" w:rsidRDefault="005D4EB7">
      <w:pPr>
        <w:pStyle w:val="Kop1"/>
      </w:pPr>
      <w:bookmarkStart w:id="25" w:name="_Toc132703170"/>
      <w:bookmarkStart w:id="26" w:name="_Toc135839934"/>
      <w:bookmarkStart w:id="27" w:name="_Toc150870539"/>
      <w:r>
        <w:lastRenderedPageBreak/>
        <w:t xml:space="preserve">Principe 2 – </w:t>
      </w:r>
      <w:bookmarkEnd w:id="25"/>
      <w:r w:rsidR="009C1A9A" w:rsidRPr="009C1A9A">
        <w:t>Behoeftebepaling, marktverkenning en een gepaste bekendmaking van opdrachten</w:t>
      </w:r>
      <w:bookmarkEnd w:id="26"/>
      <w:bookmarkEnd w:id="27"/>
    </w:p>
    <w:p w14:paraId="049CDBD1" w14:textId="57429F25" w:rsidR="00E35B60" w:rsidRDefault="009069A3">
      <w:pPr>
        <w:pStyle w:val="Kop2"/>
      </w:pPr>
      <w:bookmarkStart w:id="28" w:name="_Toc135839935"/>
      <w:bookmarkStart w:id="29" w:name="_Toc150870540"/>
      <w:r>
        <w:t>Doelstelling</w:t>
      </w:r>
      <w:bookmarkEnd w:id="28"/>
      <w:bookmarkEnd w:id="29"/>
    </w:p>
    <w:p w14:paraId="0DEB7E10" w14:textId="0F0CA075" w:rsidR="00295039" w:rsidRDefault="00295039" w:rsidP="00295039">
      <w:pPr>
        <w:rPr>
          <w:rFonts w:eastAsia="Lato" w:cs="Lato"/>
          <w:color w:val="000000" w:themeColor="text1"/>
        </w:rPr>
      </w:pPr>
      <w:r w:rsidRPr="37980BE0">
        <w:rPr>
          <w:rFonts w:eastAsia="Lato" w:cs="Lato"/>
          <w:color w:val="000000" w:themeColor="text1"/>
        </w:rPr>
        <w:t xml:space="preserve">Het </w:t>
      </w:r>
      <w:r>
        <w:rPr>
          <w:rFonts w:eastAsia="Lato" w:cs="Lato"/>
          <w:color w:val="000000" w:themeColor="text1"/>
        </w:rPr>
        <w:t>correct</w:t>
      </w:r>
      <w:r w:rsidRPr="37980BE0">
        <w:rPr>
          <w:rFonts w:eastAsia="Lato" w:cs="Lato"/>
          <w:color w:val="000000" w:themeColor="text1"/>
        </w:rPr>
        <w:t xml:space="preserve"> bepalen </w:t>
      </w:r>
      <w:r w:rsidR="00C274A0">
        <w:rPr>
          <w:rFonts w:eastAsia="Lato" w:cs="Lato"/>
          <w:color w:val="000000" w:themeColor="text1"/>
        </w:rPr>
        <w:t xml:space="preserve">en concreet maken </w:t>
      </w:r>
      <w:r w:rsidRPr="37980BE0">
        <w:rPr>
          <w:rFonts w:eastAsia="Lato" w:cs="Lato"/>
          <w:color w:val="000000" w:themeColor="text1"/>
        </w:rPr>
        <w:t xml:space="preserve">van de te vervullen behoeften van de </w:t>
      </w:r>
      <w:r w:rsidR="008813CB">
        <w:rPr>
          <w:rFonts w:eastAsia="Lato" w:cs="Lato"/>
          <w:color w:val="000000" w:themeColor="text1"/>
        </w:rPr>
        <w:t>aanbesteder</w:t>
      </w:r>
      <w:r>
        <w:rPr>
          <w:rFonts w:eastAsia="Lato" w:cs="Lato"/>
          <w:color w:val="000000" w:themeColor="text1"/>
        </w:rPr>
        <w:t>,</w:t>
      </w:r>
      <w:r w:rsidRPr="37980BE0">
        <w:rPr>
          <w:rFonts w:eastAsia="Lato" w:cs="Lato"/>
          <w:color w:val="000000" w:themeColor="text1"/>
        </w:rPr>
        <w:t xml:space="preserve"> alsook </w:t>
      </w:r>
      <w:r>
        <w:rPr>
          <w:rFonts w:eastAsia="Lato" w:cs="Lato"/>
          <w:color w:val="000000" w:themeColor="text1"/>
        </w:rPr>
        <w:t>het voldoende op voorhand verkennen van de markt en het</w:t>
      </w:r>
      <w:r w:rsidRPr="37980BE0">
        <w:rPr>
          <w:rFonts w:eastAsia="Lato" w:cs="Lato"/>
          <w:color w:val="000000" w:themeColor="text1"/>
        </w:rPr>
        <w:t xml:space="preserve"> tijdig informeren</w:t>
      </w:r>
      <w:r>
        <w:rPr>
          <w:rFonts w:eastAsia="Lato" w:cs="Lato"/>
          <w:color w:val="000000" w:themeColor="text1"/>
        </w:rPr>
        <w:t xml:space="preserve"> van de ondernemingen</w:t>
      </w:r>
      <w:r w:rsidRPr="37980BE0">
        <w:rPr>
          <w:rFonts w:eastAsia="Lato" w:cs="Lato"/>
          <w:color w:val="000000" w:themeColor="text1"/>
        </w:rPr>
        <w:t xml:space="preserve"> opdat zij zich kunnen voorbereiden op een mogelijke deelname aan een opdracht</w:t>
      </w:r>
      <w:r>
        <w:rPr>
          <w:rFonts w:eastAsia="Lato" w:cs="Lato"/>
          <w:color w:val="000000" w:themeColor="text1"/>
        </w:rPr>
        <w:t xml:space="preserve">. </w:t>
      </w:r>
    </w:p>
    <w:p w14:paraId="77FABD32" w14:textId="420A15E4" w:rsidR="00295039" w:rsidRPr="00A2395B" w:rsidRDefault="00295039" w:rsidP="009069A3">
      <w:pPr>
        <w:rPr>
          <w:rFonts w:eastAsia="Lato" w:cs="Lato"/>
          <w:color w:val="000000" w:themeColor="text1"/>
        </w:rPr>
      </w:pPr>
      <w:r>
        <w:rPr>
          <w:rFonts w:eastAsia="Lato" w:cs="Lato"/>
          <w:color w:val="000000" w:themeColor="text1"/>
        </w:rPr>
        <w:t>En dat</w:t>
      </w:r>
      <w:r w:rsidRPr="37980BE0">
        <w:rPr>
          <w:rFonts w:eastAsia="Lato" w:cs="Lato"/>
          <w:color w:val="000000" w:themeColor="text1"/>
        </w:rPr>
        <w:t xml:space="preserve"> via onder andere de organisatie van voorafgaande marktconsultaties, het gebruik van vooraankondigingen,</w:t>
      </w:r>
      <w:r>
        <w:rPr>
          <w:rFonts w:eastAsia="Lato" w:cs="Lato"/>
          <w:color w:val="000000" w:themeColor="text1"/>
        </w:rPr>
        <w:t xml:space="preserve"> het vrijwillig publiceren van opdrachten zonder enige bekendmakingsvoorschriften,</w:t>
      </w:r>
      <w:r w:rsidRPr="37980BE0">
        <w:rPr>
          <w:rFonts w:eastAsia="Lato" w:cs="Lato"/>
          <w:color w:val="000000" w:themeColor="text1"/>
        </w:rPr>
        <w:t xml:space="preserve"> </w:t>
      </w:r>
      <w:r>
        <w:rPr>
          <w:rFonts w:eastAsia="Lato" w:cs="Lato"/>
          <w:color w:val="000000" w:themeColor="text1"/>
        </w:rPr>
        <w:t>het gebruik van visitekaartjes in e-Procurement</w:t>
      </w:r>
      <w:r w:rsidR="00A64493">
        <w:rPr>
          <w:rFonts w:eastAsia="Lato" w:cs="Lato"/>
          <w:color w:val="000000" w:themeColor="text1"/>
        </w:rPr>
        <w:t xml:space="preserve">, </w:t>
      </w:r>
      <w:r w:rsidRPr="37980BE0">
        <w:rPr>
          <w:rFonts w:eastAsia="Lato" w:cs="Lato"/>
          <w:color w:val="000000" w:themeColor="text1"/>
        </w:rPr>
        <w:t>het voorzien van een redelijke termijn tussen de terbeschikkingstelling van opdrachtdocumenten en de ontvangst van offertes</w:t>
      </w:r>
      <w:r w:rsidR="008508E9">
        <w:rPr>
          <w:rFonts w:eastAsia="Lato" w:cs="Lato"/>
          <w:color w:val="000000" w:themeColor="text1"/>
        </w:rPr>
        <w:t>, en het organiseren van informatiesessies</w:t>
      </w:r>
      <w:r w:rsidRPr="37980BE0">
        <w:rPr>
          <w:rFonts w:eastAsia="Lato" w:cs="Lato"/>
          <w:color w:val="000000" w:themeColor="text1"/>
        </w:rPr>
        <w:t>.</w:t>
      </w:r>
    </w:p>
    <w:p w14:paraId="490C81E5" w14:textId="74B0960C" w:rsidR="009069A3" w:rsidRDefault="009069A3">
      <w:pPr>
        <w:pStyle w:val="Kop2"/>
      </w:pPr>
      <w:bookmarkStart w:id="30" w:name="_Toc135839936"/>
      <w:bookmarkStart w:id="31" w:name="_Toc150870541"/>
      <w:r>
        <w:t>Wat zegt de reglementering overheidsopdrachten?</w:t>
      </w:r>
      <w:bookmarkEnd w:id="30"/>
      <w:bookmarkEnd w:id="31"/>
    </w:p>
    <w:p w14:paraId="33F4A46A" w14:textId="65B05385" w:rsidR="00A2395B" w:rsidRDefault="00A2395B" w:rsidP="00A2395B">
      <w:pPr>
        <w:rPr>
          <w:rFonts w:eastAsia="Lato" w:cs="Lato"/>
          <w:color w:val="000000" w:themeColor="text1"/>
        </w:rPr>
      </w:pPr>
      <w:r>
        <w:rPr>
          <w:rFonts w:eastAsia="Lato" w:cs="Lato"/>
          <w:color w:val="000000" w:themeColor="text1"/>
        </w:rPr>
        <w:t>Artikel 60 van d</w:t>
      </w:r>
      <w:r w:rsidRPr="37980BE0">
        <w:rPr>
          <w:rFonts w:eastAsia="Lato" w:cs="Lato"/>
          <w:color w:val="000000" w:themeColor="text1"/>
        </w:rPr>
        <w:t xml:space="preserve">e wet van </w:t>
      </w:r>
      <w:hyperlink r:id="rId59" w:history="1">
        <w:r w:rsidRPr="009360D3">
          <w:rPr>
            <w:rStyle w:val="Hyperlink"/>
            <w:rFonts w:eastAsia="Lato" w:cs="Lato"/>
          </w:rPr>
          <w:t>17 juni 2016</w:t>
        </w:r>
      </w:hyperlink>
      <w:r w:rsidRPr="37980BE0">
        <w:rPr>
          <w:rFonts w:eastAsia="Lato" w:cs="Lato"/>
          <w:color w:val="000000" w:themeColor="text1"/>
        </w:rPr>
        <w:t xml:space="preserve"> bepaalt dat de </w:t>
      </w:r>
      <w:r w:rsidR="00B04BDE">
        <w:rPr>
          <w:rFonts w:eastAsia="Lato" w:cs="Lato"/>
          <w:color w:val="000000" w:themeColor="text1"/>
        </w:rPr>
        <w:t>aanbesteder</w:t>
      </w:r>
      <w:r w:rsidRPr="37980BE0">
        <w:rPr>
          <w:rFonts w:eastAsia="Lato" w:cs="Lato"/>
          <w:color w:val="000000" w:themeColor="text1"/>
        </w:rPr>
        <w:t xml:space="preserve"> voornemens </w:t>
      </w:r>
      <w:r w:rsidR="00B04BDE">
        <w:rPr>
          <w:rFonts w:eastAsia="Lato" w:cs="Lato"/>
          <w:color w:val="000000" w:themeColor="text1"/>
        </w:rPr>
        <w:t>over</w:t>
      </w:r>
      <w:r w:rsidRPr="37980BE0">
        <w:rPr>
          <w:rFonts w:eastAsia="Lato" w:cs="Lato"/>
          <w:color w:val="000000" w:themeColor="text1"/>
        </w:rPr>
        <w:t xml:space="preserve"> het plaatsen van opdrachten te kennen kan geven met de bekendmaking van een vooraankondiging. De vooraankondiging geldt dan geenszins als aankondiging van een opdracht en de periode waarop de vooraankondiging betrekking heeft, is maximaal twaalf maanden te rekenen vanaf de datum waarop de vooraankondiging is verzonden</w:t>
      </w:r>
      <w:r w:rsidR="009F62A2" w:rsidRPr="009F62A2">
        <w:rPr>
          <w:rFonts w:eastAsia="Lato" w:cs="Lato"/>
          <w:color w:val="000000" w:themeColor="text1"/>
        </w:rPr>
        <w:t xml:space="preserve"> </w:t>
      </w:r>
      <w:r w:rsidR="009F62A2" w:rsidRPr="37980BE0">
        <w:rPr>
          <w:rFonts w:eastAsia="Lato" w:cs="Lato"/>
          <w:color w:val="000000" w:themeColor="text1"/>
        </w:rPr>
        <w:t>voor bekendmaking</w:t>
      </w:r>
      <w:r w:rsidRPr="37980BE0">
        <w:rPr>
          <w:rFonts w:eastAsia="Lato" w:cs="Lato"/>
          <w:color w:val="000000" w:themeColor="text1"/>
        </w:rPr>
        <w:t xml:space="preserve">. </w:t>
      </w:r>
      <w:r w:rsidRPr="7B33215A">
        <w:rPr>
          <w:rFonts w:eastAsia="Lato" w:cs="Lato"/>
          <w:color w:val="000000" w:themeColor="text1"/>
        </w:rPr>
        <w:t xml:space="preserve">De </w:t>
      </w:r>
      <w:r>
        <w:rPr>
          <w:rFonts w:eastAsia="Lato" w:cs="Lato"/>
          <w:color w:val="000000" w:themeColor="text1"/>
        </w:rPr>
        <w:t>aanbesteder</w:t>
      </w:r>
      <w:r w:rsidRPr="7B33215A">
        <w:rPr>
          <w:rFonts w:eastAsia="Lato" w:cs="Lato"/>
          <w:color w:val="000000" w:themeColor="text1"/>
        </w:rPr>
        <w:t xml:space="preserve"> moet de vooraankondiging bekendmaken bij het Bulletin der Aanbestedingen</w:t>
      </w:r>
      <w:r w:rsidR="004178C4">
        <w:rPr>
          <w:rFonts w:eastAsia="Lato" w:cs="Lato"/>
          <w:color w:val="000000" w:themeColor="text1"/>
        </w:rPr>
        <w:t xml:space="preserve"> (BDA)</w:t>
      </w:r>
      <w:r w:rsidRPr="7B33215A">
        <w:rPr>
          <w:rFonts w:eastAsia="Lato" w:cs="Lato"/>
          <w:color w:val="000000" w:themeColor="text1"/>
        </w:rPr>
        <w:t xml:space="preserve"> en</w:t>
      </w:r>
      <w:r>
        <w:rPr>
          <w:rFonts w:eastAsia="Lato" w:cs="Lato"/>
          <w:color w:val="000000" w:themeColor="text1"/>
        </w:rPr>
        <w:t>, wanneer van toepassing,</w:t>
      </w:r>
      <w:r w:rsidRPr="7B33215A">
        <w:rPr>
          <w:rFonts w:eastAsia="Lato" w:cs="Lato"/>
          <w:color w:val="000000" w:themeColor="text1"/>
        </w:rPr>
        <w:t xml:space="preserve"> bij het Publicatieblad van de </w:t>
      </w:r>
      <w:r w:rsidR="000F308A">
        <w:rPr>
          <w:rFonts w:eastAsia="Lato" w:cs="Lato"/>
          <w:color w:val="000000" w:themeColor="text1"/>
        </w:rPr>
        <w:t>EU</w:t>
      </w:r>
      <w:r>
        <w:rPr>
          <w:rFonts w:eastAsia="Lato" w:cs="Lato"/>
          <w:color w:val="000000" w:themeColor="text1"/>
        </w:rPr>
        <w:t>,</w:t>
      </w:r>
      <w:r w:rsidRPr="7B33215A">
        <w:rPr>
          <w:rFonts w:eastAsia="Lato" w:cs="Lato"/>
          <w:color w:val="000000" w:themeColor="text1"/>
        </w:rPr>
        <w:t xml:space="preserve"> of via haar kopersprofiel in e-Procurement.</w:t>
      </w:r>
    </w:p>
    <w:p w14:paraId="4B54558E" w14:textId="77777777" w:rsidR="00A2395B" w:rsidRDefault="00A2395B" w:rsidP="00A2395B">
      <w:pPr>
        <w:rPr>
          <w:rFonts w:eastAsia="Lato" w:cs="Lato"/>
          <w:color w:val="000000" w:themeColor="text1"/>
        </w:rPr>
      </w:pPr>
      <w:r w:rsidRPr="37980BE0">
        <w:rPr>
          <w:rFonts w:eastAsia="Lato" w:cs="Lato"/>
          <w:color w:val="000000" w:themeColor="text1"/>
        </w:rPr>
        <w:t xml:space="preserve">Het gebruik van de vooraankondiging laat toe om de minimumtermijn voor ontvangst van de offertes te verkorten. </w:t>
      </w:r>
      <w:r w:rsidRPr="7B33215A">
        <w:rPr>
          <w:rFonts w:eastAsia="Lato" w:cs="Lato"/>
          <w:color w:val="000000" w:themeColor="text1"/>
        </w:rPr>
        <w:t xml:space="preserve">Verder zijn er nog enkele bijkomende bepalingen en uitzonderingen terug te vinden in de wetgeving; hiervoor </w:t>
      </w:r>
      <w:r>
        <w:rPr>
          <w:rFonts w:eastAsia="Lato" w:cs="Lato"/>
          <w:color w:val="000000" w:themeColor="text1"/>
        </w:rPr>
        <w:t>wordt</w:t>
      </w:r>
      <w:r w:rsidRPr="7B33215A">
        <w:rPr>
          <w:rFonts w:eastAsia="Lato" w:cs="Lato"/>
          <w:color w:val="000000" w:themeColor="text1"/>
        </w:rPr>
        <w:t xml:space="preserve"> verwezen naar artikel 59 van de wet van 17 juni 2016</w:t>
      </w:r>
      <w:r>
        <w:rPr>
          <w:rFonts w:eastAsia="Lato" w:cs="Lato"/>
          <w:color w:val="000000" w:themeColor="text1"/>
        </w:rPr>
        <w:t xml:space="preserve"> over de v</w:t>
      </w:r>
      <w:r w:rsidRPr="004C4BFB">
        <w:rPr>
          <w:rFonts w:eastAsia="Lato" w:cs="Lato"/>
          <w:color w:val="000000" w:themeColor="text1"/>
        </w:rPr>
        <w:t>aststelling van termijnen</w:t>
      </w:r>
      <w:r>
        <w:rPr>
          <w:rFonts w:eastAsia="Lato" w:cs="Lato"/>
          <w:color w:val="000000" w:themeColor="text1"/>
        </w:rPr>
        <w:t xml:space="preserve"> </w:t>
      </w:r>
      <w:r w:rsidRPr="00F74DD9">
        <w:rPr>
          <w:rFonts w:eastAsia="Lato" w:cs="Lato"/>
          <w:color w:val="000000" w:themeColor="text1"/>
        </w:rPr>
        <w:t>voor de aanvragen tot deelneming en de ontvangst van offertes</w:t>
      </w:r>
      <w:r w:rsidRPr="7B33215A">
        <w:rPr>
          <w:rFonts w:eastAsia="Lato" w:cs="Lato"/>
          <w:color w:val="000000" w:themeColor="text1"/>
        </w:rPr>
        <w:t xml:space="preserve">. </w:t>
      </w:r>
    </w:p>
    <w:p w14:paraId="13014D06" w14:textId="5A88D532" w:rsidR="00A2395B" w:rsidRDefault="00A2395B" w:rsidP="00A2395B">
      <w:r>
        <w:rPr>
          <w:rFonts w:eastAsia="Lato" w:cs="Lato"/>
          <w:color w:val="000000" w:themeColor="text1"/>
        </w:rPr>
        <w:t>De wet</w:t>
      </w:r>
      <w:r w:rsidRPr="37980BE0">
        <w:rPr>
          <w:rFonts w:eastAsia="Lato" w:cs="Lato"/>
          <w:color w:val="000000" w:themeColor="text1"/>
        </w:rPr>
        <w:t xml:space="preserve"> regelt</w:t>
      </w:r>
      <w:r>
        <w:rPr>
          <w:rFonts w:eastAsia="Lato" w:cs="Lato"/>
          <w:color w:val="000000" w:themeColor="text1"/>
        </w:rPr>
        <w:t xml:space="preserve"> eveneens</w:t>
      </w:r>
      <w:r w:rsidRPr="37980BE0">
        <w:rPr>
          <w:rFonts w:eastAsia="Lato" w:cs="Lato"/>
          <w:color w:val="000000" w:themeColor="text1"/>
        </w:rPr>
        <w:t xml:space="preserve"> de mogelijkheid om informatiesessies</w:t>
      </w:r>
      <w:r w:rsidR="00B40724">
        <w:rPr>
          <w:rFonts w:eastAsia="Lato" w:cs="Lato"/>
          <w:color w:val="000000" w:themeColor="text1"/>
        </w:rPr>
        <w:t xml:space="preserve"> (artikel 14)</w:t>
      </w:r>
      <w:r w:rsidRPr="37980BE0">
        <w:rPr>
          <w:rFonts w:eastAsia="Lato" w:cs="Lato"/>
          <w:color w:val="000000" w:themeColor="text1"/>
        </w:rPr>
        <w:t xml:space="preserve"> en voorafgaande marktconsultaties</w:t>
      </w:r>
      <w:r w:rsidR="00B40724">
        <w:rPr>
          <w:rFonts w:eastAsia="Lato" w:cs="Lato"/>
          <w:color w:val="000000" w:themeColor="text1"/>
        </w:rPr>
        <w:t xml:space="preserve"> (artikel 51)</w:t>
      </w:r>
      <w:r w:rsidRPr="37980BE0">
        <w:rPr>
          <w:rFonts w:eastAsia="Lato" w:cs="Lato"/>
          <w:color w:val="000000" w:themeColor="text1"/>
        </w:rPr>
        <w:t xml:space="preserve"> te organiseren; hier wordt verderop dieper op ingegaan. Tot slot voorziet </w:t>
      </w:r>
      <w:r>
        <w:rPr>
          <w:rFonts w:eastAsia="Lato" w:cs="Lato"/>
          <w:color w:val="000000" w:themeColor="text1"/>
        </w:rPr>
        <w:t>artikel 90 van de wet</w:t>
      </w:r>
      <w:r w:rsidRPr="37980BE0">
        <w:rPr>
          <w:rFonts w:eastAsia="Lato" w:cs="Lato"/>
          <w:color w:val="000000" w:themeColor="text1"/>
        </w:rPr>
        <w:t xml:space="preserve"> nog een </w:t>
      </w:r>
      <w:r>
        <w:rPr>
          <w:rFonts w:eastAsia="Lato" w:cs="Lato"/>
          <w:color w:val="000000" w:themeColor="text1"/>
        </w:rPr>
        <w:t>apart</w:t>
      </w:r>
      <w:r w:rsidRPr="37980BE0">
        <w:rPr>
          <w:rFonts w:eastAsia="Lato" w:cs="Lato"/>
          <w:color w:val="000000" w:themeColor="text1"/>
        </w:rPr>
        <w:t xml:space="preserve"> kader voor de bekendmaking van opdrachten omtrent sociale en andere specifieke diensten</w:t>
      </w:r>
      <w:r>
        <w:rPr>
          <w:rFonts w:eastAsia="Lato" w:cs="Lato"/>
          <w:color w:val="000000" w:themeColor="text1"/>
        </w:rPr>
        <w:t>.</w:t>
      </w:r>
    </w:p>
    <w:p w14:paraId="3C3D71CA" w14:textId="46599C88" w:rsidR="009069A3" w:rsidRDefault="009069A3">
      <w:pPr>
        <w:pStyle w:val="Kop2"/>
      </w:pPr>
      <w:bookmarkStart w:id="32" w:name="_Toc135839937"/>
      <w:bookmarkStart w:id="33" w:name="_Toc150870542"/>
      <w:r>
        <w:t>Toelichting</w:t>
      </w:r>
      <w:bookmarkEnd w:id="32"/>
      <w:bookmarkEnd w:id="33"/>
    </w:p>
    <w:p w14:paraId="36E905BC" w14:textId="77777777" w:rsidR="0049268C" w:rsidRPr="007E23A3" w:rsidRDefault="0049268C" w:rsidP="0049268C">
      <w:pPr>
        <w:rPr>
          <w:rFonts w:eastAsia="Lato" w:cs="Lato"/>
          <w:color w:val="000000" w:themeColor="text1"/>
        </w:rPr>
      </w:pPr>
      <w:r w:rsidRPr="001E2EA8">
        <w:rPr>
          <w:rFonts w:eastAsia="Lato" w:cs="Lato"/>
          <w:b/>
          <w:bCs/>
          <w:color w:val="0070C0"/>
        </w:rPr>
        <w:t>De voorbereidingsfase vóór de lancering van een aanbestedingsprocedure is dé sleutel tot succes voor overheidsopdrachten.</w:t>
      </w:r>
      <w:r w:rsidRPr="001E2EA8">
        <w:rPr>
          <w:rFonts w:eastAsia="Lato" w:cs="Lato"/>
          <w:color w:val="0070C0"/>
        </w:rPr>
        <w:t xml:space="preserve"> </w:t>
      </w:r>
      <w:r w:rsidRPr="7B33215A">
        <w:rPr>
          <w:rFonts w:eastAsia="Lato" w:cs="Lato"/>
          <w:color w:val="000000" w:themeColor="text1"/>
        </w:rPr>
        <w:t xml:space="preserve">Desondanks wordt </w:t>
      </w:r>
      <w:r>
        <w:rPr>
          <w:rFonts w:eastAsia="Lato" w:cs="Lato"/>
          <w:color w:val="000000" w:themeColor="text1"/>
        </w:rPr>
        <w:t>daar</w:t>
      </w:r>
      <w:r w:rsidRPr="7B33215A">
        <w:rPr>
          <w:rFonts w:eastAsia="Lato" w:cs="Lato"/>
          <w:color w:val="000000" w:themeColor="text1"/>
        </w:rPr>
        <w:t xml:space="preserve"> in de praktijk</w:t>
      </w:r>
      <w:r>
        <w:rPr>
          <w:rFonts w:eastAsia="Lato" w:cs="Lato"/>
          <w:color w:val="000000" w:themeColor="text1"/>
        </w:rPr>
        <w:t xml:space="preserve"> door de aanbesteder nog</w:t>
      </w:r>
      <w:r w:rsidRPr="7B33215A">
        <w:rPr>
          <w:rFonts w:eastAsia="Lato" w:cs="Lato"/>
          <w:color w:val="000000" w:themeColor="text1"/>
        </w:rPr>
        <w:t xml:space="preserve"> onvoldoende belang aan gehecht</w:t>
      </w:r>
      <w:r>
        <w:rPr>
          <w:rFonts w:eastAsia="Lato" w:cs="Lato"/>
          <w:color w:val="000000" w:themeColor="text1"/>
        </w:rPr>
        <w:t>, ook</w:t>
      </w:r>
      <w:r w:rsidRPr="7B33215A">
        <w:rPr>
          <w:rFonts w:eastAsia="Lato" w:cs="Lato"/>
          <w:color w:val="000000" w:themeColor="text1"/>
        </w:rPr>
        <w:t xml:space="preserve"> </w:t>
      </w:r>
      <w:r>
        <w:rPr>
          <w:rFonts w:eastAsia="Lato" w:cs="Lato"/>
          <w:color w:val="000000" w:themeColor="text1"/>
        </w:rPr>
        <w:t>omdat</w:t>
      </w:r>
      <w:r w:rsidRPr="7B33215A">
        <w:rPr>
          <w:rFonts w:eastAsia="Lato" w:cs="Lato"/>
          <w:color w:val="000000" w:themeColor="text1"/>
        </w:rPr>
        <w:t xml:space="preserve"> een grondige voorbereiding tijd en expertise vergt</w:t>
      </w:r>
      <w:r>
        <w:rPr>
          <w:rFonts w:eastAsia="Lato" w:cs="Lato"/>
          <w:color w:val="000000" w:themeColor="text1"/>
        </w:rPr>
        <w:t xml:space="preserve"> (die niet altijd voorhanden zijn)</w:t>
      </w:r>
      <w:r w:rsidRPr="7B33215A">
        <w:rPr>
          <w:rFonts w:eastAsia="Lato" w:cs="Lato"/>
          <w:color w:val="000000" w:themeColor="text1"/>
        </w:rPr>
        <w:t xml:space="preserve">. Nochtans </w:t>
      </w:r>
      <w:r>
        <w:rPr>
          <w:rFonts w:eastAsia="Lato" w:cs="Lato"/>
          <w:color w:val="000000" w:themeColor="text1"/>
        </w:rPr>
        <w:t>gaat het hier niet om</w:t>
      </w:r>
      <w:r w:rsidRPr="7B33215A">
        <w:rPr>
          <w:rFonts w:eastAsia="Lato" w:cs="Lato"/>
          <w:color w:val="000000" w:themeColor="text1"/>
        </w:rPr>
        <w:t xml:space="preserve"> verloren tijd </w:t>
      </w:r>
      <w:r>
        <w:rPr>
          <w:rFonts w:eastAsia="Lato" w:cs="Lato"/>
          <w:color w:val="000000" w:themeColor="text1"/>
        </w:rPr>
        <w:t>aangezien</w:t>
      </w:r>
      <w:r w:rsidRPr="7B33215A">
        <w:rPr>
          <w:rFonts w:eastAsia="Lato" w:cs="Lato"/>
          <w:color w:val="000000" w:themeColor="text1"/>
        </w:rPr>
        <w:t xml:space="preserve"> een effectieve planning</w:t>
      </w:r>
      <w:r>
        <w:rPr>
          <w:rFonts w:eastAsia="Lato" w:cs="Lato"/>
          <w:color w:val="000000" w:themeColor="text1"/>
        </w:rPr>
        <w:t xml:space="preserve"> niet alleen</w:t>
      </w:r>
      <w:r w:rsidRPr="7B33215A">
        <w:rPr>
          <w:rFonts w:eastAsia="Lato" w:cs="Lato"/>
          <w:color w:val="000000" w:themeColor="text1"/>
        </w:rPr>
        <w:t xml:space="preserve"> het risico op niet-gunning minimalise</w:t>
      </w:r>
      <w:r>
        <w:rPr>
          <w:rFonts w:eastAsia="Lato" w:cs="Lato"/>
          <w:color w:val="000000" w:themeColor="text1"/>
        </w:rPr>
        <w:t>ert</w:t>
      </w:r>
      <w:r w:rsidRPr="7B33215A">
        <w:rPr>
          <w:rFonts w:eastAsia="Lato" w:cs="Lato"/>
          <w:color w:val="000000" w:themeColor="text1"/>
        </w:rPr>
        <w:t xml:space="preserve">, maar </w:t>
      </w:r>
      <w:r>
        <w:rPr>
          <w:rFonts w:eastAsia="Lato" w:cs="Lato"/>
          <w:color w:val="000000" w:themeColor="text1"/>
        </w:rPr>
        <w:t>eveneens</w:t>
      </w:r>
      <w:r w:rsidRPr="7B33215A">
        <w:rPr>
          <w:rFonts w:eastAsia="Lato" w:cs="Lato"/>
          <w:color w:val="000000" w:themeColor="text1"/>
        </w:rPr>
        <w:t xml:space="preserve"> het risico dat het bestek of contract later nog moet worden gewijzigd.</w:t>
      </w:r>
    </w:p>
    <w:p w14:paraId="248DC36F" w14:textId="17241602" w:rsidR="0049268C" w:rsidRPr="007E23A3" w:rsidRDefault="0049268C" w:rsidP="0049268C">
      <w:pPr>
        <w:rPr>
          <w:rFonts w:eastAsia="Lato" w:cs="Lato"/>
          <w:color w:val="000000" w:themeColor="text1"/>
        </w:rPr>
      </w:pPr>
      <w:r w:rsidRPr="08598329">
        <w:rPr>
          <w:rFonts w:eastAsia="Lato" w:cs="Lato"/>
          <w:color w:val="000000" w:themeColor="text1"/>
        </w:rPr>
        <w:t>De planningsfase bestaat uit twee grote stappen: de behoeftebepaling en de marktanalyse. Na de voorbereiding moet de aanbesteder in staat zijn om het voorwerp van de opdracht concreet te definiëren. Mocht de aanbesteder moeilijkheden ondervinden bij het nauwkeurig omschrijven van de behoeften of van de middelen om aan</w:t>
      </w:r>
      <w:r w:rsidR="003144B9">
        <w:rPr>
          <w:rFonts w:eastAsia="Lato" w:cs="Lato"/>
          <w:color w:val="000000" w:themeColor="text1"/>
        </w:rPr>
        <w:t xml:space="preserve"> d</w:t>
      </w:r>
      <w:r w:rsidR="007662C4">
        <w:rPr>
          <w:rFonts w:eastAsia="Lato" w:cs="Lato"/>
          <w:color w:val="000000" w:themeColor="text1"/>
        </w:rPr>
        <w:t>i</w:t>
      </w:r>
      <w:r w:rsidR="003144B9">
        <w:rPr>
          <w:rFonts w:eastAsia="Lato" w:cs="Lato"/>
          <w:color w:val="000000" w:themeColor="text1"/>
        </w:rPr>
        <w:t>e behoefte</w:t>
      </w:r>
      <w:r w:rsidRPr="08598329">
        <w:rPr>
          <w:rFonts w:eastAsia="Lato" w:cs="Lato"/>
          <w:color w:val="000000" w:themeColor="text1"/>
        </w:rPr>
        <w:t xml:space="preserve"> tegemoet te komen,</w:t>
      </w:r>
      <w:r w:rsidR="007662C4">
        <w:rPr>
          <w:rFonts w:eastAsia="Lato" w:cs="Lato"/>
          <w:color w:val="000000" w:themeColor="text1"/>
        </w:rPr>
        <w:t xml:space="preserve"> dan</w:t>
      </w:r>
      <w:r w:rsidRPr="08598329">
        <w:rPr>
          <w:rFonts w:eastAsia="Lato" w:cs="Lato"/>
          <w:color w:val="000000" w:themeColor="text1"/>
        </w:rPr>
        <w:t xml:space="preserve"> worden hem verschillende instrumenten aangeboden door de wetgeving overheidsopdrachten. Het gaat dan onder meer om het gebruik van de mededingingsprocedure met onderhandeling, de concurrentiegerichte dialoog, raamovereenkomsten, varianten...</w:t>
      </w:r>
      <w:r w:rsidR="001B2697">
        <w:rPr>
          <w:rFonts w:eastAsia="Lato" w:cs="Lato"/>
          <w:color w:val="000000" w:themeColor="text1"/>
        </w:rPr>
        <w:t xml:space="preserve"> – zie verderop in het charter. </w:t>
      </w:r>
    </w:p>
    <w:p w14:paraId="67A4C366" w14:textId="7452D2E5" w:rsidR="0049268C" w:rsidRDefault="00BF6FCA">
      <w:pPr>
        <w:pStyle w:val="Kop3"/>
      </w:pPr>
      <w:bookmarkStart w:id="34" w:name="_Toc135839938"/>
      <w:bookmarkStart w:id="35" w:name="_Toc150870543"/>
      <w:r>
        <w:t>De behoeftebepaling</w:t>
      </w:r>
      <w:bookmarkEnd w:id="34"/>
      <w:bookmarkEnd w:id="35"/>
    </w:p>
    <w:p w14:paraId="0E873F64" w14:textId="3AE4E544" w:rsidR="001E033B" w:rsidRPr="007E23A3" w:rsidRDefault="001E033B" w:rsidP="001E033B">
      <w:pPr>
        <w:rPr>
          <w:rFonts w:eastAsia="Lato" w:cs="Lato"/>
          <w:color w:val="000000" w:themeColor="text1"/>
        </w:rPr>
      </w:pPr>
      <w:r w:rsidRPr="08598329">
        <w:rPr>
          <w:rFonts w:eastAsia="Lato" w:cs="Lato"/>
          <w:color w:val="000000" w:themeColor="text1"/>
        </w:rPr>
        <w:t xml:space="preserve">Alvorens een overheidsopdracht uit te schrijven, moet de aanbesteder een denkoefening maken over </w:t>
      </w:r>
      <w:r w:rsidR="00F458BB">
        <w:rPr>
          <w:rFonts w:eastAsia="Lato" w:cs="Lato"/>
          <w:color w:val="000000" w:themeColor="text1"/>
        </w:rPr>
        <w:t xml:space="preserve">aan </w:t>
      </w:r>
      <w:r w:rsidRPr="08598329">
        <w:rPr>
          <w:rFonts w:eastAsia="Lato" w:cs="Lato"/>
          <w:color w:val="000000" w:themeColor="text1"/>
        </w:rPr>
        <w:t xml:space="preserve">welke behoefte(n) </w:t>
      </w:r>
      <w:r w:rsidR="00F458BB">
        <w:rPr>
          <w:rFonts w:eastAsia="Lato" w:cs="Lato"/>
          <w:color w:val="000000" w:themeColor="text1"/>
        </w:rPr>
        <w:t>een</w:t>
      </w:r>
      <w:r w:rsidRPr="08598329">
        <w:rPr>
          <w:rFonts w:eastAsia="Lato" w:cs="Lato"/>
          <w:color w:val="000000" w:themeColor="text1"/>
        </w:rPr>
        <w:t xml:space="preserve"> opdracht tegemoet moet komen. Vervolgens moeten die behoeften intern beoordeeld worden alvorens een aanbestedingsprocedure op te starten. Dat kan door verschillende vragen te stellen: kan in de behoefte worden voorzien zonder een procedure </w:t>
      </w:r>
      <w:r w:rsidRPr="08598329">
        <w:rPr>
          <w:rFonts w:eastAsia="Lato" w:cs="Lato"/>
          <w:color w:val="000000" w:themeColor="text1"/>
        </w:rPr>
        <w:lastRenderedPageBreak/>
        <w:t xml:space="preserve">te lanceren, wat zijn de verschillende manieren om de behoefte te vervullen (aankoop, leasing, PPS…), gaat het om een opdracht voor werken/leveringen/diensten of gemengd…? </w:t>
      </w:r>
    </w:p>
    <w:p w14:paraId="75979BB8" w14:textId="707D1B2C" w:rsidR="001E033B" w:rsidRDefault="001E033B" w:rsidP="001E033B">
      <w:pPr>
        <w:rPr>
          <w:rFonts w:eastAsia="Lato" w:cs="Lato"/>
          <w:color w:val="000000" w:themeColor="text1"/>
        </w:rPr>
      </w:pPr>
      <w:r w:rsidRPr="08598329">
        <w:rPr>
          <w:rFonts w:eastAsia="Lato" w:cs="Lato"/>
          <w:color w:val="000000" w:themeColor="text1"/>
        </w:rPr>
        <w:t>Dat alles lijkt op het eerste gezicht een puur technische aangelegenheid</w:t>
      </w:r>
      <w:r w:rsidR="000C3C23">
        <w:rPr>
          <w:rFonts w:eastAsia="Lato" w:cs="Lato"/>
          <w:color w:val="000000" w:themeColor="text1"/>
        </w:rPr>
        <w:t>,</w:t>
      </w:r>
      <w:r w:rsidRPr="08598329">
        <w:rPr>
          <w:rFonts w:eastAsia="Lato" w:cs="Lato"/>
          <w:color w:val="000000" w:themeColor="text1"/>
        </w:rPr>
        <w:t xml:space="preserve"> maar het heeft wel degelijk verregaande implicaties (drempelbedragen, keuze procedure, prijs</w:t>
      </w:r>
      <w:r w:rsidR="0043134E">
        <w:rPr>
          <w:rFonts w:eastAsia="Lato" w:cs="Lato"/>
          <w:color w:val="000000" w:themeColor="text1"/>
        </w:rPr>
        <w:t xml:space="preserve">, </w:t>
      </w:r>
      <w:r w:rsidRPr="08598329">
        <w:rPr>
          <w:rFonts w:eastAsia="Lato" w:cs="Lato"/>
          <w:color w:val="000000" w:themeColor="text1"/>
        </w:rPr>
        <w:t xml:space="preserve">uitvoeringstermijn…). </w:t>
      </w:r>
    </w:p>
    <w:p w14:paraId="543DCB1E" w14:textId="440C473B" w:rsidR="001E033B" w:rsidRPr="007E23A3" w:rsidRDefault="001E033B" w:rsidP="001E033B">
      <w:pPr>
        <w:rPr>
          <w:rFonts w:eastAsia="Lato" w:cs="Lato"/>
          <w:color w:val="000000" w:themeColor="text1"/>
        </w:rPr>
      </w:pPr>
      <w:r w:rsidRPr="7B33215A">
        <w:rPr>
          <w:rFonts w:eastAsia="Lato" w:cs="Lato"/>
          <w:color w:val="000000" w:themeColor="text1"/>
        </w:rPr>
        <w:t xml:space="preserve">In het </w:t>
      </w:r>
      <w:r>
        <w:rPr>
          <w:rFonts w:eastAsia="Lato" w:cs="Lato"/>
          <w:color w:val="000000" w:themeColor="text1"/>
        </w:rPr>
        <w:t>kader</w:t>
      </w:r>
      <w:r w:rsidRPr="7B33215A">
        <w:rPr>
          <w:rFonts w:eastAsia="Lato" w:cs="Lato"/>
          <w:color w:val="000000" w:themeColor="text1"/>
        </w:rPr>
        <w:t xml:space="preserve"> van een overheidsopdracht betreft het enkel behoeften die in de eerste plaats overeenstemmen met een bepaald werk, product of dienst</w:t>
      </w:r>
      <w:r>
        <w:rPr>
          <w:rFonts w:eastAsia="Lato" w:cs="Lato"/>
          <w:color w:val="000000" w:themeColor="text1"/>
        </w:rPr>
        <w:t>,</w:t>
      </w:r>
      <w:r w:rsidRPr="7B33215A">
        <w:rPr>
          <w:rFonts w:eastAsia="Lato" w:cs="Lato"/>
          <w:color w:val="000000" w:themeColor="text1"/>
        </w:rPr>
        <w:t xml:space="preserve"> te leveren door een derde. De aanbestedende overheid moet op een gedetailleerde wijze d</w:t>
      </w:r>
      <w:r w:rsidR="00A90EDA">
        <w:rPr>
          <w:rFonts w:eastAsia="Lato" w:cs="Lato"/>
          <w:color w:val="000000" w:themeColor="text1"/>
        </w:rPr>
        <w:t>i</w:t>
      </w:r>
      <w:r w:rsidRPr="7B33215A">
        <w:rPr>
          <w:rFonts w:eastAsia="Lato" w:cs="Lato"/>
          <w:color w:val="000000" w:themeColor="text1"/>
        </w:rPr>
        <w:t>e behoefte omschrijven, opdat de</w:t>
      </w:r>
      <w:r>
        <w:rPr>
          <w:rFonts w:eastAsia="Lato" w:cs="Lato"/>
          <w:color w:val="000000" w:themeColor="text1"/>
        </w:rPr>
        <w:t xml:space="preserve"> potentiële</w:t>
      </w:r>
      <w:r w:rsidRPr="7B33215A">
        <w:rPr>
          <w:rFonts w:eastAsia="Lato" w:cs="Lato"/>
          <w:color w:val="000000" w:themeColor="text1"/>
        </w:rPr>
        <w:t xml:space="preserve"> </w:t>
      </w:r>
      <w:r>
        <w:rPr>
          <w:rFonts w:eastAsia="Lato" w:cs="Lato"/>
          <w:color w:val="000000" w:themeColor="text1"/>
        </w:rPr>
        <w:t>externe partner</w:t>
      </w:r>
      <w:r w:rsidRPr="7B33215A">
        <w:rPr>
          <w:rFonts w:eastAsia="Lato" w:cs="Lato"/>
          <w:color w:val="000000" w:themeColor="text1"/>
        </w:rPr>
        <w:t xml:space="preserve"> een voldoende concreet aanbod kan doen. De meest geschikte manier om hiertoe te komen is door middel van een </w:t>
      </w:r>
      <w:r>
        <w:rPr>
          <w:rFonts w:eastAsia="Lato" w:cs="Lato"/>
          <w:color w:val="000000" w:themeColor="text1"/>
        </w:rPr>
        <w:t xml:space="preserve">grondige </w:t>
      </w:r>
      <w:r w:rsidRPr="7B33215A">
        <w:rPr>
          <w:rFonts w:eastAsia="Lato" w:cs="Lato"/>
          <w:color w:val="000000" w:themeColor="text1"/>
        </w:rPr>
        <w:t>markt</w:t>
      </w:r>
      <w:r>
        <w:rPr>
          <w:rFonts w:eastAsia="Lato" w:cs="Lato"/>
          <w:color w:val="000000" w:themeColor="text1"/>
        </w:rPr>
        <w:t>verkenning</w:t>
      </w:r>
      <w:r w:rsidRPr="7B33215A">
        <w:rPr>
          <w:rFonts w:eastAsia="Lato" w:cs="Lato"/>
          <w:color w:val="000000" w:themeColor="text1"/>
        </w:rPr>
        <w:t>.</w:t>
      </w:r>
    </w:p>
    <w:p w14:paraId="61A61FAE" w14:textId="77777777" w:rsidR="001E033B" w:rsidRDefault="001E033B" w:rsidP="001E033B">
      <w:pPr>
        <w:rPr>
          <w:rFonts w:eastAsia="Lato" w:cs="Lato"/>
          <w:color w:val="000000" w:themeColor="text1"/>
        </w:rPr>
      </w:pPr>
      <w:r w:rsidRPr="7B33215A">
        <w:rPr>
          <w:rFonts w:eastAsia="Lato" w:cs="Lato"/>
          <w:color w:val="000000" w:themeColor="text1"/>
        </w:rPr>
        <w:t>De behoefte kan zijn oorsprong vinden in</w:t>
      </w:r>
      <w:r>
        <w:rPr>
          <w:rFonts w:eastAsia="Lato" w:cs="Lato"/>
          <w:color w:val="000000" w:themeColor="text1"/>
        </w:rPr>
        <w:t xml:space="preserve"> onder meer</w:t>
      </w:r>
      <w:r w:rsidRPr="7B33215A">
        <w:rPr>
          <w:rFonts w:eastAsia="Lato" w:cs="Lato"/>
          <w:color w:val="000000" w:themeColor="text1"/>
        </w:rPr>
        <w:t>:</w:t>
      </w:r>
    </w:p>
    <w:p w14:paraId="3D1A31A0" w14:textId="77777777" w:rsidR="001E033B" w:rsidRPr="003D5EFD" w:rsidRDefault="001E033B">
      <w:pPr>
        <w:pStyle w:val="Bullet1"/>
        <w:rPr>
          <w:lang w:val="nl-BE"/>
        </w:rPr>
      </w:pPr>
      <w:r w:rsidRPr="003D5EFD">
        <w:rPr>
          <w:lang w:val="nl-BE"/>
        </w:rPr>
        <w:t>het oplossen van een concreet probleem in de werking of de dienstverlening;</w:t>
      </w:r>
    </w:p>
    <w:p w14:paraId="30EE91AE" w14:textId="77777777" w:rsidR="001E033B" w:rsidRPr="003D5EFD" w:rsidRDefault="001E033B">
      <w:pPr>
        <w:pStyle w:val="Bullet1"/>
        <w:rPr>
          <w:lang w:val="nl-BE"/>
        </w:rPr>
      </w:pPr>
      <w:r w:rsidRPr="003D5EFD">
        <w:rPr>
          <w:lang w:val="nl-BE"/>
        </w:rPr>
        <w:t>het invullen van nieuwe operationele noden, bijvoorbeeld ten gevolge van nieuwe regelgeving;</w:t>
      </w:r>
    </w:p>
    <w:p w14:paraId="4B578FC9" w14:textId="77777777" w:rsidR="001E033B" w:rsidRPr="003D5EFD" w:rsidRDefault="001E033B">
      <w:pPr>
        <w:pStyle w:val="Bullet1"/>
        <w:rPr>
          <w:lang w:val="nl-BE"/>
        </w:rPr>
      </w:pPr>
      <w:r w:rsidRPr="003D5EFD">
        <w:rPr>
          <w:lang w:val="nl-BE"/>
        </w:rPr>
        <w:t>het tegemoetkomen aan strategische en/of operationele beleidsdoelstellingen op korte of (middel)lange termijn.</w:t>
      </w:r>
    </w:p>
    <w:p w14:paraId="7933E81C" w14:textId="048F3709" w:rsidR="001E033B" w:rsidRDefault="001E033B" w:rsidP="001E033B">
      <w:pPr>
        <w:rPr>
          <w:rFonts w:eastAsia="Lato" w:cs="Lato"/>
          <w:color w:val="000000" w:themeColor="text1"/>
        </w:rPr>
      </w:pPr>
      <w:r w:rsidRPr="00EA4EF8">
        <w:rPr>
          <w:rFonts w:eastAsia="Lato" w:cs="Lato"/>
          <w:b/>
          <w:bCs/>
          <w:color w:val="000000" w:themeColor="text1"/>
        </w:rPr>
        <w:t>Een belangrijk aandachtspunt hierbij is dat er niet alleen mag worden uitgegaan van de eigen behoeften, maar ook rekening gehouden moet worden met die van de tegenpartij</w:t>
      </w:r>
      <w:r w:rsidRPr="37980BE0">
        <w:rPr>
          <w:rFonts w:eastAsia="Lato" w:cs="Lato"/>
          <w:color w:val="000000" w:themeColor="text1"/>
        </w:rPr>
        <w:t>. Bij een overheidsopdracht voor</w:t>
      </w:r>
      <w:r>
        <w:rPr>
          <w:rFonts w:eastAsia="Lato" w:cs="Lato"/>
          <w:color w:val="000000" w:themeColor="text1"/>
        </w:rPr>
        <w:t xml:space="preserve"> bijvoorbeeld</w:t>
      </w:r>
      <w:r w:rsidRPr="37980BE0">
        <w:rPr>
          <w:rFonts w:eastAsia="Lato" w:cs="Lato"/>
          <w:color w:val="000000" w:themeColor="text1"/>
        </w:rPr>
        <w:t xml:space="preserve"> de bestelling van nieuwe treintoestellen is het aan te raden op voorhand samen te zitten met de verschillende constructeurs en</w:t>
      </w:r>
      <w:r w:rsidR="00CD6F96">
        <w:rPr>
          <w:rFonts w:eastAsia="Lato" w:cs="Lato"/>
          <w:color w:val="000000" w:themeColor="text1"/>
        </w:rPr>
        <w:t xml:space="preserve"> om</w:t>
      </w:r>
      <w:r w:rsidRPr="37980BE0">
        <w:rPr>
          <w:rFonts w:eastAsia="Lato" w:cs="Lato"/>
          <w:color w:val="000000" w:themeColor="text1"/>
        </w:rPr>
        <w:t xml:space="preserve"> oog te hebben voor hun noden en wensen (capaciteit, leveringstermijnen, </w:t>
      </w:r>
      <w:r>
        <w:rPr>
          <w:rFonts w:eastAsia="Lato" w:cs="Lato"/>
          <w:color w:val="000000" w:themeColor="text1"/>
        </w:rPr>
        <w:t>bestaande en/of beschikbare expertise, technische mogelijkheden, recente ontwikkelingen</w:t>
      </w:r>
      <w:r w:rsidRPr="37980BE0">
        <w:rPr>
          <w:rFonts w:eastAsia="Lato" w:cs="Lato"/>
          <w:color w:val="000000" w:themeColor="text1"/>
        </w:rPr>
        <w:t>…).</w:t>
      </w:r>
    </w:p>
    <w:p w14:paraId="0232B6AC" w14:textId="5E401CC0" w:rsidR="001E033B" w:rsidRDefault="001E033B" w:rsidP="00BF6FCA">
      <w:pPr>
        <w:rPr>
          <w:rFonts w:eastAsia="Lato" w:cs="Lato"/>
          <w:color w:val="000000" w:themeColor="text1"/>
        </w:rPr>
      </w:pPr>
      <w:r w:rsidRPr="000C6E2F">
        <w:rPr>
          <w:rFonts w:eastAsia="Lato" w:cs="Lato"/>
          <w:b/>
          <w:bCs/>
          <w:color w:val="000000" w:themeColor="text1"/>
        </w:rPr>
        <w:t>Een onjuiste behoefteomschrijving zal het verdere verloop van de aanbestedingsprocedure ernstig hypothekeren</w:t>
      </w:r>
      <w:r w:rsidRPr="37980BE0">
        <w:rPr>
          <w:rFonts w:eastAsia="Lato" w:cs="Lato"/>
          <w:color w:val="000000" w:themeColor="text1"/>
        </w:rPr>
        <w:t xml:space="preserve">, bijvoorbeeld: de aankoop van </w:t>
      </w:r>
      <w:r>
        <w:rPr>
          <w:rFonts w:eastAsia="Lato" w:cs="Lato"/>
          <w:color w:val="000000" w:themeColor="text1"/>
        </w:rPr>
        <w:t>voertuigen</w:t>
      </w:r>
      <w:r w:rsidRPr="37980BE0">
        <w:rPr>
          <w:rFonts w:eastAsia="Lato" w:cs="Lato"/>
          <w:color w:val="000000" w:themeColor="text1"/>
        </w:rPr>
        <w:t xml:space="preserve"> waarvoor in het oorspronkelijk</w:t>
      </w:r>
      <w:r>
        <w:rPr>
          <w:rFonts w:eastAsia="Lato" w:cs="Lato"/>
          <w:color w:val="000000" w:themeColor="text1"/>
        </w:rPr>
        <w:t>e</w:t>
      </w:r>
      <w:r w:rsidRPr="37980BE0">
        <w:rPr>
          <w:rFonts w:eastAsia="Lato" w:cs="Lato"/>
          <w:color w:val="000000" w:themeColor="text1"/>
        </w:rPr>
        <w:t xml:space="preserve"> bestek niet is voorzien in het bijhorende onderhoud</w:t>
      </w:r>
      <w:r>
        <w:rPr>
          <w:rFonts w:eastAsia="Lato" w:cs="Lato"/>
          <w:color w:val="000000" w:themeColor="text1"/>
        </w:rPr>
        <w:t>. Dat</w:t>
      </w:r>
      <w:r w:rsidRPr="37980BE0">
        <w:rPr>
          <w:rFonts w:eastAsia="Lato" w:cs="Lato"/>
          <w:color w:val="000000" w:themeColor="text1"/>
        </w:rPr>
        <w:t xml:space="preserve"> </w:t>
      </w:r>
      <w:r>
        <w:rPr>
          <w:rFonts w:eastAsia="Lato" w:cs="Lato"/>
          <w:color w:val="000000" w:themeColor="text1"/>
        </w:rPr>
        <w:t>zal</w:t>
      </w:r>
      <w:r w:rsidRPr="37980BE0">
        <w:rPr>
          <w:rFonts w:eastAsia="Lato" w:cs="Lato"/>
          <w:color w:val="000000" w:themeColor="text1"/>
        </w:rPr>
        <w:t xml:space="preserve"> voor problemen </w:t>
      </w:r>
      <w:r>
        <w:rPr>
          <w:rFonts w:eastAsia="Lato" w:cs="Lato"/>
          <w:color w:val="000000" w:themeColor="text1"/>
        </w:rPr>
        <w:t xml:space="preserve">zorgen </w:t>
      </w:r>
      <w:r w:rsidRPr="37980BE0">
        <w:rPr>
          <w:rFonts w:eastAsia="Lato" w:cs="Lato"/>
          <w:color w:val="000000" w:themeColor="text1"/>
        </w:rPr>
        <w:t xml:space="preserve">wanneer de aanbesteder het onderhoud alsnog door dezelfde leverancier wil laten uitvoeren </w:t>
      </w:r>
      <w:r w:rsidR="00EF42DE">
        <w:rPr>
          <w:rFonts w:eastAsia="Lato" w:cs="Lato"/>
          <w:color w:val="000000" w:themeColor="text1"/>
        </w:rPr>
        <w:t>om</w:t>
      </w:r>
      <w:r w:rsidR="00EF42DE" w:rsidRPr="37980BE0">
        <w:rPr>
          <w:rFonts w:eastAsia="Lato" w:cs="Lato"/>
          <w:color w:val="000000" w:themeColor="text1"/>
        </w:rPr>
        <w:t xml:space="preserve"> </w:t>
      </w:r>
      <w:r w:rsidRPr="37980BE0">
        <w:rPr>
          <w:rFonts w:eastAsia="Lato" w:cs="Lato"/>
          <w:color w:val="000000" w:themeColor="text1"/>
        </w:rPr>
        <w:t>zo compatibel mogelijk te werken.</w:t>
      </w:r>
    </w:p>
    <w:p w14:paraId="0AD9D658" w14:textId="7FB70879" w:rsidR="00BF2BFC" w:rsidRDefault="004F1B9E">
      <w:pPr>
        <w:pStyle w:val="Kop3"/>
        <w:rPr>
          <w:rFonts w:eastAsia="Lato"/>
        </w:rPr>
      </w:pPr>
      <w:bookmarkStart w:id="36" w:name="_Toc135839939"/>
      <w:bookmarkStart w:id="37" w:name="_Toc150870544"/>
      <w:r>
        <w:rPr>
          <w:rFonts w:eastAsia="Lato"/>
        </w:rPr>
        <w:t>De marktverkenning: voorafgaande marktconsultaties</w:t>
      </w:r>
      <w:bookmarkEnd w:id="36"/>
      <w:bookmarkEnd w:id="37"/>
    </w:p>
    <w:p w14:paraId="7367C016" w14:textId="32BF46C7" w:rsidR="004F1B9E" w:rsidRPr="003F60A0" w:rsidRDefault="003F60A0" w:rsidP="003F60A0">
      <w:pPr>
        <w:pStyle w:val="Kop4"/>
        <w:rPr>
          <w:lang w:val="nl-BE"/>
        </w:rPr>
      </w:pPr>
      <w:r w:rsidRPr="003F60A0">
        <w:rPr>
          <w:lang w:val="nl-BE"/>
        </w:rPr>
        <w:t>Algemeen</w:t>
      </w:r>
    </w:p>
    <w:p w14:paraId="3273B9EA" w14:textId="544AE005" w:rsidR="003F60A0" w:rsidRPr="007E23A3" w:rsidRDefault="003F60A0" w:rsidP="003F60A0">
      <w:pPr>
        <w:rPr>
          <w:rFonts w:eastAsia="Lato" w:cs="Lato"/>
          <w:color w:val="000000" w:themeColor="text1"/>
        </w:rPr>
      </w:pPr>
      <w:r w:rsidRPr="6DAEE100">
        <w:rPr>
          <w:rFonts w:eastAsia="Lato" w:cs="Lato"/>
          <w:color w:val="000000" w:themeColor="text1"/>
        </w:rPr>
        <w:t xml:space="preserve">Om tot een </w:t>
      </w:r>
      <w:r>
        <w:rPr>
          <w:rFonts w:eastAsia="Lato" w:cs="Lato"/>
          <w:color w:val="000000" w:themeColor="text1"/>
        </w:rPr>
        <w:t>correcte</w:t>
      </w:r>
      <w:r w:rsidR="003B58E6">
        <w:rPr>
          <w:rFonts w:eastAsia="Lato" w:cs="Lato"/>
          <w:color w:val="000000" w:themeColor="text1"/>
        </w:rPr>
        <w:t xml:space="preserve"> en</w:t>
      </w:r>
      <w:r w:rsidRPr="6DAEE100">
        <w:rPr>
          <w:rFonts w:eastAsia="Lato" w:cs="Lato"/>
          <w:color w:val="000000" w:themeColor="text1"/>
        </w:rPr>
        <w:t xml:space="preserve"> </w:t>
      </w:r>
      <w:r w:rsidR="003B58E6" w:rsidRPr="6DAEE100">
        <w:rPr>
          <w:rFonts w:eastAsia="Lato" w:cs="Lato"/>
          <w:color w:val="000000" w:themeColor="text1"/>
        </w:rPr>
        <w:t>concrete</w:t>
      </w:r>
      <w:r w:rsidR="003B58E6">
        <w:rPr>
          <w:rFonts w:eastAsia="Lato" w:cs="Lato"/>
          <w:color w:val="000000" w:themeColor="text1"/>
        </w:rPr>
        <w:t xml:space="preserve"> </w:t>
      </w:r>
      <w:r w:rsidRPr="6DAEE100">
        <w:rPr>
          <w:rFonts w:eastAsia="Lato" w:cs="Lato"/>
          <w:color w:val="000000" w:themeColor="text1"/>
        </w:rPr>
        <w:t>behoefteomschrijving te komen</w:t>
      </w:r>
      <w:r>
        <w:rPr>
          <w:rFonts w:eastAsia="Lato" w:cs="Lato"/>
          <w:color w:val="000000" w:themeColor="text1"/>
        </w:rPr>
        <w:t>,</w:t>
      </w:r>
      <w:r w:rsidRPr="6DAEE100">
        <w:rPr>
          <w:rFonts w:eastAsia="Lato" w:cs="Lato"/>
          <w:color w:val="000000" w:themeColor="text1"/>
        </w:rPr>
        <w:t xml:space="preserve"> heeft een </w:t>
      </w:r>
      <w:r w:rsidR="00320F93">
        <w:rPr>
          <w:rFonts w:eastAsia="Lato" w:cs="Lato"/>
          <w:color w:val="000000" w:themeColor="text1"/>
        </w:rPr>
        <w:t>aanbesteder</w:t>
      </w:r>
      <w:r w:rsidRPr="6DAEE100">
        <w:rPr>
          <w:rFonts w:eastAsia="Lato" w:cs="Lato"/>
          <w:color w:val="000000" w:themeColor="text1"/>
        </w:rPr>
        <w:t xml:space="preserve">, zeker in de huidige complexe samenleving, niet steeds de juiste knowhow in huis. De aanbesteder beschikt </w:t>
      </w:r>
      <w:r>
        <w:rPr>
          <w:rFonts w:eastAsia="Lato" w:cs="Lato"/>
          <w:color w:val="000000" w:themeColor="text1"/>
        </w:rPr>
        <w:t>wel</w:t>
      </w:r>
      <w:r w:rsidRPr="6DAEE100">
        <w:rPr>
          <w:rFonts w:eastAsia="Lato" w:cs="Lato"/>
          <w:color w:val="000000" w:themeColor="text1"/>
        </w:rPr>
        <w:t xml:space="preserve"> over de </w:t>
      </w:r>
      <w:r w:rsidR="00B375D9">
        <w:rPr>
          <w:rFonts w:eastAsia="Lato" w:cs="Lato"/>
          <w:color w:val="000000" w:themeColor="text1"/>
        </w:rPr>
        <w:t>optie</w:t>
      </w:r>
      <w:r w:rsidR="00B375D9" w:rsidRPr="6DAEE100">
        <w:rPr>
          <w:rFonts w:eastAsia="Lato" w:cs="Lato"/>
          <w:color w:val="000000" w:themeColor="text1"/>
        </w:rPr>
        <w:t xml:space="preserve"> </w:t>
      </w:r>
      <w:r w:rsidRPr="6DAEE100">
        <w:rPr>
          <w:rFonts w:eastAsia="Lato" w:cs="Lato"/>
          <w:color w:val="000000" w:themeColor="text1"/>
        </w:rPr>
        <w:t xml:space="preserve">om na te gaan wat de markt te bieden heeft om een bepaalde behoefte in te vullen. </w:t>
      </w:r>
    </w:p>
    <w:p w14:paraId="1CB01F8D" w14:textId="6982B433" w:rsidR="003F60A0" w:rsidRDefault="003F60A0" w:rsidP="003F60A0">
      <w:pPr>
        <w:rPr>
          <w:rFonts w:eastAsia="Lato" w:cs="Lato"/>
          <w:color w:val="000000" w:themeColor="text1"/>
        </w:rPr>
      </w:pPr>
      <w:r w:rsidRPr="00F37113">
        <w:rPr>
          <w:rFonts w:eastAsia="Lato" w:cs="Lato"/>
          <w:color w:val="000000" w:themeColor="text1"/>
        </w:rPr>
        <w:t xml:space="preserve">Artikel 51 van de wet overheidsopdrachten stelt dat de </w:t>
      </w:r>
      <w:r w:rsidR="00F37113">
        <w:rPr>
          <w:rFonts w:eastAsia="Lato" w:cs="Lato"/>
          <w:color w:val="000000" w:themeColor="text1"/>
        </w:rPr>
        <w:t>aanbesteder</w:t>
      </w:r>
      <w:r w:rsidRPr="00FA1F32">
        <w:rPr>
          <w:rFonts w:eastAsia="Lato" w:cs="Lato"/>
          <w:b/>
          <w:bCs/>
          <w:color w:val="000000" w:themeColor="text1"/>
        </w:rPr>
        <w:t xml:space="preserve"> vóór het aanvatten van een plaatsingsprocedure marktconsultaties</w:t>
      </w:r>
      <w:r>
        <w:rPr>
          <w:rFonts w:eastAsia="Lato" w:cs="Lato"/>
          <w:b/>
          <w:bCs/>
          <w:color w:val="000000" w:themeColor="text1"/>
        </w:rPr>
        <w:t xml:space="preserve"> mag</w:t>
      </w:r>
      <w:r w:rsidRPr="00FA1F32">
        <w:rPr>
          <w:rFonts w:eastAsia="Lato" w:cs="Lato"/>
          <w:b/>
          <w:bCs/>
          <w:color w:val="000000" w:themeColor="text1"/>
        </w:rPr>
        <w:t xml:space="preserve"> houden met het oog op de voorbereiding van de plaatsing van de opdracht</w:t>
      </w:r>
      <w:r w:rsidRPr="00204E69">
        <w:rPr>
          <w:rFonts w:eastAsia="Lato" w:cs="Lato"/>
          <w:b/>
          <w:bCs/>
          <w:color w:val="000000" w:themeColor="text1"/>
        </w:rPr>
        <w:t xml:space="preserve">, alsook om de ondernemers op de hoogte te brengen van </w:t>
      </w:r>
      <w:r w:rsidR="001D7958">
        <w:rPr>
          <w:rFonts w:eastAsia="Lato" w:cs="Lato"/>
          <w:b/>
          <w:bCs/>
          <w:color w:val="000000" w:themeColor="text1"/>
        </w:rPr>
        <w:t>zijn</w:t>
      </w:r>
      <w:r w:rsidR="001D7958" w:rsidRPr="00204E69">
        <w:rPr>
          <w:rFonts w:eastAsia="Lato" w:cs="Lato"/>
          <w:b/>
          <w:bCs/>
          <w:color w:val="000000" w:themeColor="text1"/>
        </w:rPr>
        <w:t xml:space="preserve"> </w:t>
      </w:r>
      <w:r w:rsidRPr="00204E69">
        <w:rPr>
          <w:rFonts w:eastAsia="Lato" w:cs="Lato"/>
          <w:b/>
          <w:bCs/>
          <w:color w:val="000000" w:themeColor="text1"/>
        </w:rPr>
        <w:t>plannen en eisen</w:t>
      </w:r>
      <w:r w:rsidRPr="7B33215A">
        <w:rPr>
          <w:rFonts w:eastAsia="Lato" w:cs="Lato"/>
          <w:color w:val="000000" w:themeColor="text1"/>
        </w:rPr>
        <w:t xml:space="preserve">. Met dat doel mag </w:t>
      </w:r>
      <w:r w:rsidR="001D7958">
        <w:rPr>
          <w:rFonts w:eastAsia="Lato" w:cs="Lato"/>
          <w:color w:val="000000" w:themeColor="text1"/>
        </w:rPr>
        <w:t>de aanbesteder</w:t>
      </w:r>
      <w:r w:rsidRPr="7B33215A">
        <w:rPr>
          <w:rFonts w:eastAsia="Lato" w:cs="Lato"/>
          <w:color w:val="000000" w:themeColor="text1"/>
        </w:rPr>
        <w:t xml:space="preserve"> bijvoorbeeld het advies van onafhankelijke deskundigen, privé- of publieke instellingen of van marktdeelnemers inwinnen of ontvangen. Tegenwoordig wordt de marktconsultatie ook steeds vaker ingezet om op de hoogte te blijven van innovaties en nieuwe ontwikkelingen.</w:t>
      </w:r>
    </w:p>
    <w:p w14:paraId="2BB71A06" w14:textId="42E1554D" w:rsidR="003F60A0" w:rsidRDefault="003F60A0" w:rsidP="003F60A0">
      <w:pPr>
        <w:rPr>
          <w:rFonts w:eastAsia="Lato" w:cs="Lato"/>
          <w:color w:val="000000" w:themeColor="text1"/>
        </w:rPr>
      </w:pPr>
      <w:r w:rsidRPr="7B33215A">
        <w:rPr>
          <w:rFonts w:eastAsia="Lato" w:cs="Lato"/>
          <w:color w:val="000000" w:themeColor="text1"/>
        </w:rPr>
        <w:t xml:space="preserve">De kansen van een onderneming mogen door de prospectie noch positief noch negatief beïnvloed worden. </w:t>
      </w:r>
      <w:r>
        <w:rPr>
          <w:rFonts w:eastAsia="Lato" w:cs="Lato"/>
          <w:color w:val="000000" w:themeColor="text1"/>
        </w:rPr>
        <w:t>Een</w:t>
      </w:r>
      <w:r w:rsidRPr="7B33215A">
        <w:rPr>
          <w:rFonts w:eastAsia="Lato" w:cs="Lato"/>
          <w:color w:val="000000" w:themeColor="text1"/>
        </w:rPr>
        <w:t xml:space="preserve"> marktconsultatie mag niet leiden tot enige vorm van vooronderhandelingen met bepaalde ondernemingen, wat met name het geval kan zijn indien de technische specificaties van een opdracht</w:t>
      </w:r>
      <w:r w:rsidR="002137B9">
        <w:rPr>
          <w:rFonts w:eastAsia="Lato" w:cs="Lato"/>
          <w:color w:val="000000" w:themeColor="text1"/>
        </w:rPr>
        <w:t>,</w:t>
      </w:r>
      <w:r w:rsidRPr="7B33215A">
        <w:rPr>
          <w:rFonts w:eastAsia="Lato" w:cs="Lato"/>
          <w:color w:val="000000" w:themeColor="text1"/>
        </w:rPr>
        <w:t xml:space="preserve"> een fabricaat of </w:t>
      </w:r>
      <w:r>
        <w:rPr>
          <w:rFonts w:eastAsia="Lato" w:cs="Lato"/>
          <w:color w:val="000000" w:themeColor="text1"/>
        </w:rPr>
        <w:t xml:space="preserve">een </w:t>
      </w:r>
      <w:r w:rsidRPr="7B33215A">
        <w:rPr>
          <w:rFonts w:eastAsia="Lato" w:cs="Lato"/>
          <w:color w:val="000000" w:themeColor="text1"/>
        </w:rPr>
        <w:t xml:space="preserve">bijzondere werkwijze zouden vermelden van een ondernemer. </w:t>
      </w:r>
    </w:p>
    <w:p w14:paraId="2A6E1BB1" w14:textId="77777777" w:rsidR="003F60A0" w:rsidRDefault="003F60A0" w:rsidP="003F60A0">
      <w:pPr>
        <w:rPr>
          <w:rFonts w:eastAsia="Lato" w:cs="Lato"/>
          <w:color w:val="000000" w:themeColor="text1"/>
        </w:rPr>
      </w:pPr>
      <w:r w:rsidRPr="00AA51E1">
        <w:rPr>
          <w:rFonts w:eastAsia="Lato" w:cs="Lato"/>
          <w:b/>
          <w:bCs/>
          <w:color w:val="000000" w:themeColor="text1"/>
        </w:rPr>
        <w:t>De verkregen informatie mag gebruikt worden bij de planning en het verloop van de plaatsingsprocedure, mits dat niet leidt tot een vervalsing van de mededinging en geen aanleiding geeft tot een schending van de beginselen van non-discriminatie en transparantie</w:t>
      </w:r>
      <w:r w:rsidRPr="7B33215A">
        <w:rPr>
          <w:rFonts w:eastAsia="Lato" w:cs="Lato"/>
          <w:color w:val="000000" w:themeColor="text1"/>
        </w:rPr>
        <w:t xml:space="preserve">. </w:t>
      </w:r>
    </w:p>
    <w:p w14:paraId="5D292207" w14:textId="79771810" w:rsidR="003F60A0" w:rsidRDefault="003F60A0" w:rsidP="003F60A0">
      <w:pPr>
        <w:rPr>
          <w:rFonts w:eastAsia="Lato" w:cs="Lato"/>
          <w:color w:val="000000" w:themeColor="text1"/>
        </w:rPr>
      </w:pPr>
      <w:r w:rsidRPr="7B33215A">
        <w:rPr>
          <w:rFonts w:eastAsia="Lato" w:cs="Lato"/>
          <w:color w:val="000000" w:themeColor="text1"/>
        </w:rPr>
        <w:t xml:space="preserve">Zo dient de </w:t>
      </w:r>
      <w:r w:rsidR="00461DC9">
        <w:rPr>
          <w:rFonts w:eastAsia="Lato" w:cs="Lato"/>
          <w:color w:val="000000" w:themeColor="text1"/>
        </w:rPr>
        <w:t>aanbesteder</w:t>
      </w:r>
      <w:r w:rsidRPr="7B33215A">
        <w:rPr>
          <w:rFonts w:eastAsia="Lato" w:cs="Lato"/>
          <w:color w:val="000000" w:themeColor="text1"/>
        </w:rPr>
        <w:t xml:space="preserve"> erop toe te zien dat het bestek, op basis van de </w:t>
      </w:r>
      <w:r>
        <w:rPr>
          <w:rFonts w:eastAsia="Lato" w:cs="Lato"/>
          <w:color w:val="000000" w:themeColor="text1"/>
        </w:rPr>
        <w:t>in</w:t>
      </w:r>
      <w:r w:rsidRPr="7B33215A">
        <w:rPr>
          <w:rFonts w:eastAsia="Lato" w:cs="Lato"/>
          <w:color w:val="000000" w:themeColor="text1"/>
        </w:rPr>
        <w:t xml:space="preserve">gewonnen input, niet </w:t>
      </w:r>
      <w:r w:rsidR="003957BE">
        <w:rPr>
          <w:rFonts w:eastAsia="Lato" w:cs="Lato"/>
          <w:color w:val="000000" w:themeColor="text1"/>
        </w:rPr>
        <w:t xml:space="preserve">zodanig </w:t>
      </w:r>
      <w:r w:rsidRPr="7B33215A">
        <w:rPr>
          <w:rFonts w:eastAsia="Lato" w:cs="Lato"/>
          <w:color w:val="000000" w:themeColor="text1"/>
        </w:rPr>
        <w:t xml:space="preserve">opgesteld wordt zodat slechts één of enkele ondernemers de kans hebben om de opdracht binnen te halen. Of het tegenovergestelde scenario, waarbij de </w:t>
      </w:r>
      <w:r w:rsidR="003957BE">
        <w:rPr>
          <w:rFonts w:eastAsia="Lato" w:cs="Lato"/>
          <w:color w:val="000000" w:themeColor="text1"/>
        </w:rPr>
        <w:t>aanbesteder</w:t>
      </w:r>
      <w:r w:rsidRPr="7B33215A">
        <w:rPr>
          <w:rFonts w:eastAsia="Lato" w:cs="Lato"/>
          <w:color w:val="000000" w:themeColor="text1"/>
        </w:rPr>
        <w:t xml:space="preserve"> een mix maakt van de oplossingen van verschillende ondernemers om tot een behoefte te komen die door niemand kan worden vervuld. </w:t>
      </w:r>
    </w:p>
    <w:p w14:paraId="0E0B4063" w14:textId="0F85F22C" w:rsidR="003F60A0" w:rsidRDefault="003F60A0" w:rsidP="003F60A0">
      <w:pPr>
        <w:rPr>
          <w:rFonts w:eastAsia="Lato" w:cs="Lato"/>
          <w:color w:val="000000" w:themeColor="text1"/>
        </w:rPr>
      </w:pPr>
      <w:r w:rsidRPr="7B33215A">
        <w:rPr>
          <w:rFonts w:eastAsia="Lato" w:cs="Lato"/>
          <w:color w:val="000000" w:themeColor="text1"/>
        </w:rPr>
        <w:lastRenderedPageBreak/>
        <w:t xml:space="preserve">Bij grote of complexe opdrachten kan het gebeuren dat de aanbesteder met specifieke ondernemingen zodanig diep in gesprek treedt dat er </w:t>
      </w:r>
      <w:r>
        <w:rPr>
          <w:rFonts w:eastAsia="Lato" w:cs="Lato"/>
          <w:color w:val="000000" w:themeColor="text1"/>
        </w:rPr>
        <w:t>een</w:t>
      </w:r>
      <w:r w:rsidRPr="7B33215A">
        <w:rPr>
          <w:rFonts w:eastAsia="Lato" w:cs="Lato"/>
          <w:color w:val="000000" w:themeColor="text1"/>
        </w:rPr>
        <w:t xml:space="preserve"> risico bestaat op zogenaamde voorafgaande betrokkenheid (zie artikel 52 van de wet) en er </w:t>
      </w:r>
      <w:r w:rsidRPr="7B33215A">
        <w:rPr>
          <w:rFonts w:eastAsia="Lato" w:cs="Lato"/>
          <w:i/>
          <w:iCs/>
          <w:color w:val="000000" w:themeColor="text1"/>
        </w:rPr>
        <w:t xml:space="preserve">in se </w:t>
      </w:r>
      <w:r w:rsidRPr="7B33215A">
        <w:rPr>
          <w:rFonts w:eastAsia="Lato" w:cs="Lato"/>
          <w:color w:val="000000" w:themeColor="text1"/>
        </w:rPr>
        <w:t>een voordeel gecreëerd wordt. D</w:t>
      </w:r>
      <w:r>
        <w:rPr>
          <w:rFonts w:eastAsia="Lato" w:cs="Lato"/>
          <w:color w:val="000000" w:themeColor="text1"/>
        </w:rPr>
        <w:t>a</w:t>
      </w:r>
      <w:r w:rsidRPr="7B33215A">
        <w:rPr>
          <w:rFonts w:eastAsia="Lato" w:cs="Lato"/>
          <w:color w:val="000000" w:themeColor="text1"/>
        </w:rPr>
        <w:t xml:space="preserve">t kan bijvoorbeeld het geval zijn bij de ontwikkeling van prototypes of voorafgaande studies. </w:t>
      </w:r>
    </w:p>
    <w:p w14:paraId="60B1C146" w14:textId="77777777" w:rsidR="003F60A0" w:rsidRDefault="003F60A0" w:rsidP="003F60A0">
      <w:pPr>
        <w:rPr>
          <w:rFonts w:eastAsia="Lato" w:cs="Lato"/>
          <w:color w:val="000000" w:themeColor="text1"/>
        </w:rPr>
      </w:pPr>
      <w:r w:rsidRPr="00550058">
        <w:rPr>
          <w:rFonts w:eastAsia="Lato" w:cs="Lato"/>
          <w:b/>
          <w:bCs/>
          <w:color w:val="0070C0"/>
        </w:rPr>
        <w:t>De aanbesteder kan echter verhinderen dat er een voordeel gecreëerd wordt door</w:t>
      </w:r>
      <w:r w:rsidRPr="00550058">
        <w:rPr>
          <w:rFonts w:eastAsia="Lato" w:cs="Lato"/>
          <w:color w:val="0070C0"/>
        </w:rPr>
        <w:t xml:space="preserve"> </w:t>
      </w:r>
      <w:r w:rsidRPr="7B33215A">
        <w:rPr>
          <w:rFonts w:eastAsia="Lato" w:cs="Lato"/>
          <w:color w:val="000000" w:themeColor="text1"/>
        </w:rPr>
        <w:t>(1) eventuele voorkennis te elimineren door alle informatie in het bestek te plaatsen en (2) voldoende tijd te voorzien voor de indiening van offertes zodat andere inschrijvers tijd genoeg hebben om de kennis te absorberen en dus op gelijk niveau te concurreren.</w:t>
      </w:r>
    </w:p>
    <w:p w14:paraId="7477C955" w14:textId="1B3978AB" w:rsidR="003F60A0" w:rsidRDefault="003F60A0" w:rsidP="003F60A0">
      <w:pPr>
        <w:rPr>
          <w:rFonts w:eastAsia="Lato" w:cs="Lato"/>
          <w:color w:val="000000" w:themeColor="text1"/>
        </w:rPr>
      </w:pPr>
      <w:r w:rsidRPr="009572CF">
        <w:rPr>
          <w:rFonts w:eastAsia="Lato" w:cs="Lato"/>
          <w:b/>
          <w:bCs/>
          <w:color w:val="0070C0"/>
        </w:rPr>
        <w:t>Het bestaan van een risico</w:t>
      </w:r>
      <w:r w:rsidRPr="009572CF">
        <w:rPr>
          <w:rFonts w:eastAsia="Lato" w:cs="Lato"/>
          <w:color w:val="0070C0"/>
        </w:rPr>
        <w:t xml:space="preserve"> </w:t>
      </w:r>
      <w:r w:rsidRPr="004E0BAF">
        <w:rPr>
          <w:rFonts w:eastAsia="Lato" w:cs="Lato"/>
        </w:rPr>
        <w:t xml:space="preserve">op de verstoring van de mededinging </w:t>
      </w:r>
      <w:r w:rsidR="00203263" w:rsidRPr="004E0BAF">
        <w:rPr>
          <w:rFonts w:eastAsia="Lato" w:cs="Lato"/>
        </w:rPr>
        <w:t xml:space="preserve">door </w:t>
      </w:r>
      <w:r w:rsidRPr="004E0BAF">
        <w:rPr>
          <w:rFonts w:eastAsia="Lato" w:cs="Lato"/>
        </w:rPr>
        <w:t xml:space="preserve">het onzorgvuldig omgaan met voorafgaande marktconsultaties </w:t>
      </w:r>
      <w:r w:rsidR="004E0BAF" w:rsidRPr="009572CF">
        <w:rPr>
          <w:rFonts w:eastAsia="Lato" w:cs="Lato"/>
          <w:b/>
          <w:bCs/>
          <w:color w:val="0070C0"/>
        </w:rPr>
        <w:t xml:space="preserve">moet met andere woorden fel genuanceerd worden. </w:t>
      </w:r>
      <w:r w:rsidRPr="009572CF">
        <w:rPr>
          <w:rFonts w:eastAsia="Lato" w:cs="Lato"/>
          <w:b/>
          <w:bCs/>
          <w:color w:val="0070C0"/>
        </w:rPr>
        <w:t>De voordelen wegen ruimschoots op tegen de potentiële nadelen</w:t>
      </w:r>
      <w:r w:rsidR="004635B5">
        <w:rPr>
          <w:rFonts w:eastAsia="Lato" w:cs="Lato"/>
          <w:b/>
          <w:bCs/>
          <w:color w:val="0070C0"/>
        </w:rPr>
        <w:t>,</w:t>
      </w:r>
      <w:r w:rsidRPr="009572CF">
        <w:rPr>
          <w:rFonts w:eastAsia="Lato" w:cs="Lato"/>
          <w:b/>
          <w:bCs/>
          <w:color w:val="0070C0"/>
        </w:rPr>
        <w:t xml:space="preserve"> nadelen die ook nog eens vermijdbaar of behandelbaar zijn.</w:t>
      </w:r>
      <w:r w:rsidRPr="009572CF">
        <w:rPr>
          <w:rFonts w:eastAsia="Lato" w:cs="Lato"/>
          <w:color w:val="0070C0"/>
        </w:rPr>
        <w:t xml:space="preserve"> </w:t>
      </w:r>
      <w:r w:rsidR="00050C57" w:rsidRPr="009572CF">
        <w:rPr>
          <w:rFonts w:eastAsia="Lato" w:cs="Lato"/>
        </w:rPr>
        <w:t xml:space="preserve">Er is </w:t>
      </w:r>
      <w:r w:rsidR="00CA138D">
        <w:rPr>
          <w:rFonts w:eastAsia="Lato" w:cs="Lato"/>
        </w:rPr>
        <w:t xml:space="preserve">dus </w:t>
      </w:r>
      <w:r w:rsidR="00050C57" w:rsidRPr="009572CF">
        <w:rPr>
          <w:rFonts w:eastAsia="Lato" w:cs="Lato"/>
        </w:rPr>
        <w:t>geen reden om bij voorbaat te beslissen om geen gebruik van te maken van voorafgaande marktconsultaties</w:t>
      </w:r>
      <w:r w:rsidR="00050C57" w:rsidRPr="08598329">
        <w:rPr>
          <w:rFonts w:eastAsia="Lato" w:cs="Lato"/>
          <w:color w:val="000000" w:themeColor="text1"/>
        </w:rPr>
        <w:t xml:space="preserve">. </w:t>
      </w:r>
      <w:r w:rsidRPr="08598329">
        <w:rPr>
          <w:rFonts w:eastAsia="Lato" w:cs="Lato"/>
          <w:color w:val="000000" w:themeColor="text1"/>
        </w:rPr>
        <w:t xml:space="preserve">Bij twijfel, neemt er de </w:t>
      </w:r>
      <w:hyperlink r:id="rId60">
        <w:r w:rsidRPr="08598329">
          <w:rPr>
            <w:rStyle w:val="Hyperlink"/>
            <w:rFonts w:eastAsia="Lato" w:cs="Lato"/>
          </w:rPr>
          <w:t>praktische gids</w:t>
        </w:r>
      </w:hyperlink>
      <w:r w:rsidRPr="08598329">
        <w:rPr>
          <w:rFonts w:eastAsia="Lato" w:cs="Lato"/>
          <w:color w:val="000000" w:themeColor="text1"/>
        </w:rPr>
        <w:t xml:space="preserve"> van de FOD BOSA bij die dieper ingaat op potentiële valkuilen – zie ook hieronder.</w:t>
      </w:r>
    </w:p>
    <w:p w14:paraId="50E3C9DC" w14:textId="468AC0F6" w:rsidR="00E64248" w:rsidRPr="00E64248" w:rsidRDefault="00E64248" w:rsidP="00E64248">
      <w:pPr>
        <w:pStyle w:val="Kop4"/>
        <w:rPr>
          <w:rFonts w:eastAsia="Lato"/>
          <w:lang w:val="nl-BE"/>
        </w:rPr>
      </w:pPr>
      <w:r w:rsidRPr="00E64248">
        <w:rPr>
          <w:rFonts w:eastAsia="Lato"/>
          <w:lang w:val="nl-BE"/>
        </w:rPr>
        <w:t xml:space="preserve">Voorafgaande marktconsultaties in de praktijk </w:t>
      </w:r>
    </w:p>
    <w:p w14:paraId="4DC3CE12" w14:textId="5E8861D7" w:rsidR="00E64248" w:rsidRDefault="00E64248" w:rsidP="00E64248">
      <w:pPr>
        <w:rPr>
          <w:rFonts w:eastAsia="Lato" w:cs="Lato"/>
          <w:color w:val="000000" w:themeColor="text1"/>
        </w:rPr>
      </w:pPr>
      <w:r w:rsidRPr="3BD494F9">
        <w:rPr>
          <w:rFonts w:eastAsia="Lato" w:cs="Lato"/>
          <w:color w:val="000000" w:themeColor="text1"/>
        </w:rPr>
        <w:t xml:space="preserve">Het concept van de voorafgaande marktverkenning kan in de praktijk erg breed geïnterpreteerd worden, gaande van </w:t>
      </w:r>
      <w:r>
        <w:rPr>
          <w:rFonts w:eastAsia="Lato" w:cs="Lato"/>
          <w:color w:val="000000" w:themeColor="text1"/>
        </w:rPr>
        <w:t xml:space="preserve">een </w:t>
      </w:r>
      <w:r w:rsidRPr="3BD494F9">
        <w:rPr>
          <w:rFonts w:eastAsia="Lato" w:cs="Lato"/>
          <w:color w:val="000000" w:themeColor="text1"/>
        </w:rPr>
        <w:t>eenvoudige deskresearch tot</w:t>
      </w:r>
      <w:r>
        <w:rPr>
          <w:rFonts w:eastAsia="Lato" w:cs="Lato"/>
          <w:color w:val="000000" w:themeColor="text1"/>
        </w:rPr>
        <w:t xml:space="preserve"> het</w:t>
      </w:r>
      <w:r w:rsidRPr="3BD494F9">
        <w:rPr>
          <w:rFonts w:eastAsia="Lato" w:cs="Lato"/>
          <w:color w:val="000000" w:themeColor="text1"/>
        </w:rPr>
        <w:t xml:space="preserve"> effectief rond de tafel zitten met potentiële inschrijvers. Bij die laatste</w:t>
      </w:r>
      <w:r>
        <w:rPr>
          <w:rFonts w:eastAsia="Lato" w:cs="Lato"/>
          <w:color w:val="000000" w:themeColor="text1"/>
        </w:rPr>
        <w:t xml:space="preserve"> groep</w:t>
      </w:r>
      <w:r w:rsidRPr="3BD494F9">
        <w:rPr>
          <w:rFonts w:eastAsia="Lato" w:cs="Lato"/>
          <w:color w:val="000000" w:themeColor="text1"/>
        </w:rPr>
        <w:t xml:space="preserve"> kan de aanbesteder een </w:t>
      </w:r>
      <w:r>
        <w:rPr>
          <w:rFonts w:eastAsia="Lato" w:cs="Lato"/>
          <w:color w:val="000000" w:themeColor="text1"/>
        </w:rPr>
        <w:t>“</w:t>
      </w:r>
      <w:r w:rsidRPr="3BD494F9">
        <w:rPr>
          <w:rFonts w:eastAsia="Lato" w:cs="Lato"/>
          <w:color w:val="000000" w:themeColor="text1"/>
        </w:rPr>
        <w:t>actieve marktverkenning</w:t>
      </w:r>
      <w:r>
        <w:rPr>
          <w:rFonts w:eastAsia="Lato" w:cs="Lato"/>
          <w:color w:val="000000" w:themeColor="text1"/>
        </w:rPr>
        <w:t>”</w:t>
      </w:r>
      <w:r w:rsidRPr="3BD494F9">
        <w:rPr>
          <w:rFonts w:eastAsia="Lato" w:cs="Lato"/>
          <w:color w:val="000000" w:themeColor="text1"/>
        </w:rPr>
        <w:t xml:space="preserve"> voeren door zich actief bij ondernemers te informeren, of een </w:t>
      </w:r>
      <w:r>
        <w:rPr>
          <w:rFonts w:eastAsia="Lato" w:cs="Lato"/>
          <w:color w:val="000000" w:themeColor="text1"/>
        </w:rPr>
        <w:t>“</w:t>
      </w:r>
      <w:r w:rsidRPr="3BD494F9">
        <w:rPr>
          <w:rFonts w:eastAsia="Lato" w:cs="Lato"/>
          <w:color w:val="000000" w:themeColor="text1"/>
        </w:rPr>
        <w:t>passieve marktverkenning</w:t>
      </w:r>
      <w:r>
        <w:rPr>
          <w:rFonts w:eastAsia="Lato" w:cs="Lato"/>
          <w:color w:val="000000" w:themeColor="text1"/>
        </w:rPr>
        <w:t>”</w:t>
      </w:r>
      <w:r w:rsidRPr="3BD494F9">
        <w:rPr>
          <w:rFonts w:eastAsia="Lato" w:cs="Lato"/>
          <w:color w:val="000000" w:themeColor="text1"/>
        </w:rPr>
        <w:t xml:space="preserve"> voeren door </w:t>
      </w:r>
      <w:r w:rsidR="00EA6514">
        <w:rPr>
          <w:rFonts w:eastAsia="Lato" w:cs="Lato"/>
          <w:color w:val="000000" w:themeColor="text1"/>
        </w:rPr>
        <w:t xml:space="preserve">bijvoorbeeld </w:t>
      </w:r>
      <w:r w:rsidRPr="3BD494F9">
        <w:rPr>
          <w:rFonts w:eastAsia="Lato" w:cs="Lato"/>
          <w:color w:val="000000" w:themeColor="text1"/>
        </w:rPr>
        <w:t xml:space="preserve">een oproep te lanceren waar ondernemers </w:t>
      </w:r>
      <w:r>
        <w:rPr>
          <w:rFonts w:eastAsia="Lato" w:cs="Lato"/>
          <w:color w:val="000000" w:themeColor="text1"/>
        </w:rPr>
        <w:t xml:space="preserve">vrijblijvend </w:t>
      </w:r>
      <w:r w:rsidRPr="3BD494F9">
        <w:rPr>
          <w:rFonts w:eastAsia="Lato" w:cs="Lato"/>
          <w:color w:val="000000" w:themeColor="text1"/>
        </w:rPr>
        <w:t>op kunnen reageren (</w:t>
      </w:r>
      <w:r>
        <w:rPr>
          <w:rFonts w:eastAsia="Lato" w:cs="Lato"/>
          <w:color w:val="000000" w:themeColor="text1"/>
        </w:rPr>
        <w:t>vroeger gekend als een “</w:t>
      </w:r>
      <w:r w:rsidRPr="3BD494F9">
        <w:rPr>
          <w:rFonts w:eastAsia="Lato" w:cs="Lato"/>
          <w:i/>
          <w:iCs/>
          <w:color w:val="000000" w:themeColor="text1"/>
        </w:rPr>
        <w:t>Request for Information</w:t>
      </w:r>
      <w:r w:rsidRPr="004A2CF3">
        <w:rPr>
          <w:rFonts w:eastAsia="Lato" w:cs="Lato"/>
          <w:color w:val="000000" w:themeColor="text1"/>
        </w:rPr>
        <w:t>”, vandaag in e-Procurement</w:t>
      </w:r>
      <w:r>
        <w:rPr>
          <w:rFonts w:eastAsia="Lato" w:cs="Lato"/>
          <w:color w:val="000000" w:themeColor="text1"/>
        </w:rPr>
        <w:t xml:space="preserve"> omschreven</w:t>
      </w:r>
      <w:r w:rsidRPr="004A2CF3">
        <w:rPr>
          <w:rFonts w:eastAsia="Lato" w:cs="Lato"/>
          <w:color w:val="000000" w:themeColor="text1"/>
        </w:rPr>
        <w:t xml:space="preserve"> als de</w:t>
      </w:r>
      <w:r>
        <w:rPr>
          <w:rFonts w:eastAsia="Lato" w:cs="Lato"/>
          <w:i/>
          <w:iCs/>
          <w:color w:val="000000" w:themeColor="text1"/>
        </w:rPr>
        <w:t xml:space="preserve"> “Preliminary market consultation</w:t>
      </w:r>
      <w:r w:rsidRPr="004A2CF3">
        <w:rPr>
          <w:rFonts w:eastAsia="Lato" w:cs="Lato"/>
          <w:color w:val="000000" w:themeColor="text1"/>
        </w:rPr>
        <w:t>” (PMC) of de “</w:t>
      </w:r>
      <w:r>
        <w:rPr>
          <w:rFonts w:eastAsia="Lato" w:cs="Lato"/>
          <w:color w:val="000000" w:themeColor="text1"/>
        </w:rPr>
        <w:t>V</w:t>
      </w:r>
      <w:r w:rsidRPr="004A2CF3">
        <w:rPr>
          <w:rFonts w:eastAsia="Lato" w:cs="Lato"/>
          <w:color w:val="000000" w:themeColor="text1"/>
        </w:rPr>
        <w:t>oorafgaande marktconsultatie”,</w:t>
      </w:r>
      <w:r w:rsidRPr="3BD494F9">
        <w:rPr>
          <w:rFonts w:eastAsia="Lato" w:cs="Lato"/>
          <w:i/>
          <w:iCs/>
          <w:color w:val="000000" w:themeColor="text1"/>
        </w:rPr>
        <w:t xml:space="preserve"> </w:t>
      </w:r>
      <w:r w:rsidRPr="00AA5DA0">
        <w:rPr>
          <w:rFonts w:eastAsia="Lato" w:cs="Lato"/>
          <w:color w:val="000000" w:themeColor="text1"/>
        </w:rPr>
        <w:t xml:space="preserve">cf. </w:t>
      </w:r>
      <w:r w:rsidRPr="3BD494F9">
        <w:rPr>
          <w:rFonts w:eastAsia="Lato" w:cs="Lato"/>
          <w:color w:val="000000" w:themeColor="text1"/>
        </w:rPr>
        <w:t>i</w:t>
      </w:r>
      <w:r w:rsidRPr="00AA5DA0">
        <w:rPr>
          <w:rFonts w:eastAsia="Lato" w:cs="Lato"/>
          <w:color w:val="000000" w:themeColor="text1"/>
        </w:rPr>
        <w:t>nfra)</w:t>
      </w:r>
      <w:r w:rsidRPr="00AA5DA0">
        <w:rPr>
          <w:rFonts w:eastAsia="Lato" w:cs="Lato"/>
          <w:i/>
          <w:iCs/>
          <w:color w:val="000000" w:themeColor="text1"/>
        </w:rPr>
        <w:t>.</w:t>
      </w:r>
      <w:r w:rsidRPr="3BD494F9">
        <w:rPr>
          <w:rFonts w:eastAsia="Lato" w:cs="Lato"/>
          <w:color w:val="000000" w:themeColor="text1"/>
        </w:rPr>
        <w:t xml:space="preserve"> </w:t>
      </w:r>
    </w:p>
    <w:p w14:paraId="6BC55783" w14:textId="180D3EE8" w:rsidR="00E64248" w:rsidRDefault="00E64248" w:rsidP="00E64248">
      <w:pPr>
        <w:rPr>
          <w:rFonts w:eastAsia="Lato" w:cs="Lato"/>
          <w:color w:val="000000" w:themeColor="text1"/>
        </w:rPr>
      </w:pPr>
      <w:r w:rsidRPr="3BD494F9">
        <w:rPr>
          <w:rFonts w:eastAsia="Lato" w:cs="Lato"/>
          <w:color w:val="000000" w:themeColor="text1"/>
        </w:rPr>
        <w:t>Potentiële ondernemers kunnen op verschillende manieren gezocht worden: online, op vakbeurzen, via beroepsverenigingen, in bedrij</w:t>
      </w:r>
      <w:r>
        <w:rPr>
          <w:rFonts w:eastAsia="Lato" w:cs="Lato"/>
          <w:color w:val="000000" w:themeColor="text1"/>
        </w:rPr>
        <w:t>fs</w:t>
      </w:r>
      <w:r w:rsidRPr="3BD494F9">
        <w:rPr>
          <w:rFonts w:eastAsia="Lato" w:cs="Lato"/>
          <w:color w:val="000000" w:themeColor="text1"/>
        </w:rPr>
        <w:t xml:space="preserve">gidsen… </w:t>
      </w:r>
      <w:r w:rsidRPr="00FD6D8E">
        <w:rPr>
          <w:rFonts w:eastAsia="Lato" w:cs="Lato"/>
          <w:b/>
          <w:bCs/>
          <w:color w:val="000000" w:themeColor="text1"/>
        </w:rPr>
        <w:t>Probeer hierbij ondernem</w:t>
      </w:r>
      <w:r w:rsidR="0037568A">
        <w:rPr>
          <w:rFonts w:eastAsia="Lato" w:cs="Lato"/>
          <w:b/>
          <w:bCs/>
          <w:color w:val="000000" w:themeColor="text1"/>
        </w:rPr>
        <w:t>ingen</w:t>
      </w:r>
      <w:r w:rsidRPr="00FD6D8E">
        <w:rPr>
          <w:rFonts w:eastAsia="Lato" w:cs="Lato"/>
          <w:b/>
          <w:bCs/>
          <w:color w:val="000000" w:themeColor="text1"/>
        </w:rPr>
        <w:t xml:space="preserve"> met uiteenlopende structuren en grootte te contacteren, en een mix van gevestigde waarden én nieuwe spelers aan te trekken</w:t>
      </w:r>
      <w:r w:rsidR="007C68BA">
        <w:rPr>
          <w:rFonts w:eastAsia="Lato" w:cs="Lato"/>
          <w:b/>
          <w:bCs/>
          <w:color w:val="000000" w:themeColor="text1"/>
        </w:rPr>
        <w:t xml:space="preserve"> </w:t>
      </w:r>
      <w:r w:rsidR="007C68BA" w:rsidRPr="00487895">
        <w:rPr>
          <w:rFonts w:eastAsia="Lato" w:cs="Lato"/>
          <w:color w:val="000000" w:themeColor="text1"/>
        </w:rPr>
        <w:t>opdat</w:t>
      </w:r>
      <w:r w:rsidRPr="3BD494F9">
        <w:rPr>
          <w:rFonts w:eastAsia="Lato" w:cs="Lato"/>
          <w:color w:val="000000" w:themeColor="text1"/>
        </w:rPr>
        <w:t xml:space="preserve"> die</w:t>
      </w:r>
      <w:r w:rsidR="00487895">
        <w:rPr>
          <w:rFonts w:eastAsia="Lato" w:cs="Lato"/>
          <w:color w:val="000000" w:themeColor="text1"/>
        </w:rPr>
        <w:t xml:space="preserve"> een verscheidenheid aan</w:t>
      </w:r>
      <w:r w:rsidRPr="3BD494F9">
        <w:rPr>
          <w:rFonts w:eastAsia="Lato" w:cs="Lato"/>
          <w:color w:val="000000" w:themeColor="text1"/>
        </w:rPr>
        <w:t xml:space="preserve"> oplossingen kunnen </w:t>
      </w:r>
      <w:r>
        <w:rPr>
          <w:rFonts w:eastAsia="Lato" w:cs="Lato"/>
          <w:color w:val="000000" w:themeColor="text1"/>
        </w:rPr>
        <w:t>aan</w:t>
      </w:r>
      <w:r w:rsidRPr="3BD494F9">
        <w:rPr>
          <w:rFonts w:eastAsia="Lato" w:cs="Lato"/>
          <w:color w:val="000000" w:themeColor="text1"/>
        </w:rPr>
        <w:t>bieden</w:t>
      </w:r>
      <w:r w:rsidR="00C72A7F">
        <w:rPr>
          <w:rFonts w:eastAsia="Lato" w:cs="Lato"/>
          <w:color w:val="000000" w:themeColor="text1"/>
        </w:rPr>
        <w:t xml:space="preserve">, en dat met </w:t>
      </w:r>
      <w:r w:rsidR="001F602B">
        <w:rPr>
          <w:rFonts w:eastAsia="Lato" w:cs="Lato"/>
          <w:color w:val="000000" w:themeColor="text1"/>
        </w:rPr>
        <w:t xml:space="preserve">een </w:t>
      </w:r>
      <w:r w:rsidR="00C72A7F">
        <w:rPr>
          <w:rFonts w:eastAsia="Lato" w:cs="Lato"/>
          <w:color w:val="000000" w:themeColor="text1"/>
        </w:rPr>
        <w:t>specifieke aandacht voor de aanwezigheid van kmo’s</w:t>
      </w:r>
      <w:r w:rsidRPr="3BD494F9">
        <w:rPr>
          <w:rFonts w:eastAsia="Lato" w:cs="Lato"/>
          <w:color w:val="000000" w:themeColor="text1"/>
        </w:rPr>
        <w:t>.</w:t>
      </w:r>
    </w:p>
    <w:p w14:paraId="0CBB27AA" w14:textId="77777777" w:rsidR="00E64248" w:rsidRDefault="00E64248" w:rsidP="00E64248">
      <w:pPr>
        <w:rPr>
          <w:rFonts w:eastAsia="Lato" w:cs="Lato"/>
          <w:color w:val="000000" w:themeColor="text1"/>
        </w:rPr>
      </w:pPr>
      <w:r w:rsidRPr="7B33215A">
        <w:rPr>
          <w:rFonts w:eastAsia="Lato" w:cs="Lato"/>
          <w:color w:val="000000" w:themeColor="text1"/>
        </w:rPr>
        <w:t>Grosso modo worden drie soorten marktconsultatie</w:t>
      </w:r>
      <w:r>
        <w:rPr>
          <w:rFonts w:eastAsia="Lato" w:cs="Lato"/>
          <w:color w:val="000000" w:themeColor="text1"/>
        </w:rPr>
        <w:t>s</w:t>
      </w:r>
      <w:r w:rsidRPr="7B33215A">
        <w:rPr>
          <w:rFonts w:eastAsia="Lato" w:cs="Lato"/>
          <w:color w:val="000000" w:themeColor="text1"/>
        </w:rPr>
        <w:t xml:space="preserve"> onderscheiden:</w:t>
      </w:r>
    </w:p>
    <w:p w14:paraId="02ED6DF8" w14:textId="1218A102" w:rsidR="00E64248" w:rsidRPr="00E64248" w:rsidRDefault="00E64248">
      <w:pPr>
        <w:pStyle w:val="Bullet1"/>
        <w:rPr>
          <w:lang w:val="nl-BE"/>
        </w:rPr>
      </w:pPr>
      <w:r w:rsidRPr="00E64248">
        <w:rPr>
          <w:lang w:val="nl-BE"/>
        </w:rPr>
        <w:t>permanente marktconsultatie: het voortdurend opvolgen van de evoluties (technisch, operationeel, budgettair…) rond materieel, prestaties, infrastructuur…</w:t>
      </w:r>
    </w:p>
    <w:p w14:paraId="69A061F6" w14:textId="2339E6F7" w:rsidR="00E64248" w:rsidRPr="00E64248" w:rsidRDefault="00E64248">
      <w:pPr>
        <w:pStyle w:val="Bullet1"/>
        <w:rPr>
          <w:lang w:val="nl-BE"/>
        </w:rPr>
      </w:pPr>
      <w:r w:rsidRPr="00E64248">
        <w:rPr>
          <w:lang w:val="nl-BE"/>
        </w:rPr>
        <w:t>specifieke marktconsultatie: gericht op één welbepaald(e) materieel, prestatie...</w:t>
      </w:r>
    </w:p>
    <w:p w14:paraId="48DB1447" w14:textId="66DA04F2" w:rsidR="00E64248" w:rsidRPr="00E64248" w:rsidRDefault="00E64248">
      <w:pPr>
        <w:pStyle w:val="Bullet1"/>
        <w:rPr>
          <w:lang w:val="nl-BE"/>
        </w:rPr>
      </w:pPr>
      <w:r w:rsidRPr="00E64248">
        <w:rPr>
          <w:lang w:val="nl-BE"/>
        </w:rPr>
        <w:t xml:space="preserve">doorgedreven marktconsultatie: in het kader van een overheidsopdracht informatie verzamelen gericht op een specifieke oplossing </w:t>
      </w:r>
      <w:r w:rsidR="008463FC">
        <w:rPr>
          <w:lang w:val="nl-BE"/>
        </w:rPr>
        <w:t>voor</w:t>
      </w:r>
      <w:r w:rsidR="008463FC" w:rsidRPr="00E64248">
        <w:rPr>
          <w:lang w:val="nl-BE"/>
        </w:rPr>
        <w:t xml:space="preserve"> </w:t>
      </w:r>
      <w:r w:rsidRPr="00E64248">
        <w:rPr>
          <w:lang w:val="nl-BE"/>
        </w:rPr>
        <w:t>het voorwerp van die opdracht</w:t>
      </w:r>
      <w:r w:rsidR="0094182A">
        <w:rPr>
          <w:lang w:val="nl-BE"/>
        </w:rPr>
        <w:t>.</w:t>
      </w:r>
    </w:p>
    <w:p w14:paraId="17A5C694" w14:textId="23800089" w:rsidR="00E64248" w:rsidRDefault="00E64248" w:rsidP="00E64248">
      <w:pPr>
        <w:rPr>
          <w:rFonts w:eastAsia="Lato" w:cs="Lato"/>
          <w:color w:val="000000" w:themeColor="text1"/>
        </w:rPr>
      </w:pPr>
      <w:r w:rsidRPr="50411D6D">
        <w:rPr>
          <w:rFonts w:eastAsia="Lato" w:cs="Lato"/>
          <w:color w:val="000000" w:themeColor="text1"/>
        </w:rPr>
        <w:t xml:space="preserve">Tijdens de voorafgaande marktconsultatie handelt de </w:t>
      </w:r>
      <w:r w:rsidR="00BD75D8">
        <w:rPr>
          <w:rFonts w:eastAsia="Lato" w:cs="Lato"/>
          <w:color w:val="000000" w:themeColor="text1"/>
        </w:rPr>
        <w:t>aanbesteder</w:t>
      </w:r>
      <w:r w:rsidRPr="50411D6D">
        <w:rPr>
          <w:rFonts w:eastAsia="Lato" w:cs="Lato"/>
          <w:color w:val="000000" w:themeColor="text1"/>
        </w:rPr>
        <w:t xml:space="preserve"> in feite als elke andere privépersoon die een werk, dienst of product nodig heeft. </w:t>
      </w:r>
      <w:r>
        <w:rPr>
          <w:rFonts w:eastAsia="Lato" w:cs="Lato"/>
          <w:color w:val="000000" w:themeColor="text1"/>
        </w:rPr>
        <w:t>De aanbesteder</w:t>
      </w:r>
      <w:r w:rsidRPr="50411D6D">
        <w:rPr>
          <w:rFonts w:eastAsia="Lato" w:cs="Lato"/>
          <w:color w:val="000000" w:themeColor="text1"/>
        </w:rPr>
        <w:t xml:space="preserve"> zal het gesprek aangaan met ondernemingen om na te gaan wat zij kunnen bieden om de gedefinieerde behoefte in te vullen. Deze ondernemingen worden </w:t>
      </w:r>
      <w:r>
        <w:rPr>
          <w:rFonts w:eastAsia="Lato" w:cs="Lato"/>
          <w:color w:val="000000" w:themeColor="text1"/>
        </w:rPr>
        <w:t xml:space="preserve">dus </w:t>
      </w:r>
      <w:r w:rsidRPr="50411D6D">
        <w:rPr>
          <w:rFonts w:eastAsia="Lato" w:cs="Lato"/>
          <w:color w:val="000000" w:themeColor="text1"/>
        </w:rPr>
        <w:t xml:space="preserve">om advies gevraagd </w:t>
      </w:r>
      <w:r w:rsidR="00BD75D8">
        <w:rPr>
          <w:rFonts w:eastAsia="Lato" w:cs="Lato"/>
          <w:color w:val="000000" w:themeColor="text1"/>
        </w:rPr>
        <w:t>over</w:t>
      </w:r>
      <w:r w:rsidR="00BD75D8" w:rsidRPr="50411D6D">
        <w:rPr>
          <w:rFonts w:eastAsia="Lato" w:cs="Lato"/>
          <w:color w:val="000000" w:themeColor="text1"/>
        </w:rPr>
        <w:t xml:space="preserve"> </w:t>
      </w:r>
      <w:r w:rsidRPr="50411D6D">
        <w:rPr>
          <w:rFonts w:eastAsia="Lato" w:cs="Lato"/>
          <w:color w:val="000000" w:themeColor="text1"/>
        </w:rPr>
        <w:t xml:space="preserve">de gepaste oplossing voor een bepaald probleem. Ook kan de aanbesteder polsen naar het prijskaartje dat aan een bepaalde oplossing verbonden is of naar mogelijke alternatieve oplossingen. </w:t>
      </w:r>
    </w:p>
    <w:p w14:paraId="4DBFECFD" w14:textId="77777777" w:rsidR="00E64248" w:rsidRDefault="00E64248" w:rsidP="00E64248">
      <w:pPr>
        <w:rPr>
          <w:rFonts w:eastAsia="Lato" w:cs="Lato"/>
          <w:color w:val="000000" w:themeColor="text1"/>
        </w:rPr>
      </w:pPr>
      <w:r w:rsidRPr="00B451BE">
        <w:rPr>
          <w:rFonts w:eastAsia="Lato" w:cs="Lato"/>
          <w:b/>
          <w:bCs/>
          <w:color w:val="000000" w:themeColor="text1"/>
        </w:rPr>
        <w:t>Neem echter nooit zonder meer de technische specificaties over die een onderneming heeft bezorgd, hoe nuttig dat ook mag lijken</w:t>
      </w:r>
      <w:r w:rsidRPr="50411D6D">
        <w:rPr>
          <w:rFonts w:eastAsia="Lato" w:cs="Lato"/>
          <w:color w:val="000000" w:themeColor="text1"/>
        </w:rPr>
        <w:t xml:space="preserve">. De geraadpleegde onderneming wordt uiteraard ook niet betaald voor haar diensten in deze voorbereidingsfase. Het is met andere woorden </w:t>
      </w:r>
      <w:r w:rsidRPr="00743FEF">
        <w:rPr>
          <w:rFonts w:eastAsia="Lato" w:cs="Lato"/>
          <w:b/>
          <w:bCs/>
          <w:color w:val="000000" w:themeColor="text1"/>
        </w:rPr>
        <w:t>belangrijk om de marktverkenning goed te kaderen en hier geen verkeerde verwachtingen te scheppen</w:t>
      </w:r>
      <w:r w:rsidRPr="50411D6D">
        <w:rPr>
          <w:rFonts w:eastAsia="Lato" w:cs="Lato"/>
          <w:color w:val="000000" w:themeColor="text1"/>
        </w:rPr>
        <w:t xml:space="preserve">. Bij opdrachten met grotere omvang geldt als vuistregel dat de marktconsultatie zes maanden tot een jaar vóór de publicatie van de opdracht aanvangt, naargelang de complexiteit van de opdracht en – logischerwijs – voor de opmaak van het bestek. </w:t>
      </w:r>
    </w:p>
    <w:p w14:paraId="56F37BDA" w14:textId="12939444" w:rsidR="00E64248" w:rsidRDefault="00E64248" w:rsidP="00E64248">
      <w:pPr>
        <w:rPr>
          <w:rFonts w:eastAsia="Lato" w:cs="Lato"/>
          <w:color w:val="000000" w:themeColor="text1"/>
        </w:rPr>
      </w:pPr>
      <w:r>
        <w:rPr>
          <w:rFonts w:eastAsia="Lato" w:cs="Lato"/>
          <w:color w:val="000000" w:themeColor="text1"/>
        </w:rPr>
        <w:t>Een d</w:t>
      </w:r>
      <w:r w:rsidRPr="3BD494F9">
        <w:rPr>
          <w:rFonts w:eastAsia="Lato" w:cs="Lato"/>
          <w:color w:val="000000" w:themeColor="text1"/>
        </w:rPr>
        <w:t>ergelijke marktverkenning stelt de aanbesteder in staat om kennis te nemen van de beschikbare oplossingen die de gedefinieerde behoeften naar alle waarschijnlijkheid kunnen vervullen. Bovendien draagt een marktanalyse niet alleen bij tot het beter identificeren van het onderwerp van de opdracht en de geraamde waarde, maar verzekert ze ook de beste prijs</w:t>
      </w:r>
      <w:r w:rsidR="0042437F">
        <w:rPr>
          <w:rFonts w:eastAsia="Lato" w:cs="Lato"/>
          <w:color w:val="000000" w:themeColor="text1"/>
        </w:rPr>
        <w:t>-</w:t>
      </w:r>
      <w:r w:rsidRPr="3BD494F9">
        <w:rPr>
          <w:rFonts w:eastAsia="Lato" w:cs="Lato"/>
          <w:color w:val="000000" w:themeColor="text1"/>
        </w:rPr>
        <w:t xml:space="preserve">kwaliteitsverhouding. </w:t>
      </w:r>
    </w:p>
    <w:p w14:paraId="55E34125" w14:textId="3141B667" w:rsidR="00E64248" w:rsidRDefault="00E64248" w:rsidP="00E64248">
      <w:pPr>
        <w:rPr>
          <w:rFonts w:eastAsia="Lato" w:cs="Lato"/>
          <w:color w:val="000000" w:themeColor="text1"/>
        </w:rPr>
      </w:pPr>
      <w:r w:rsidRPr="006D65B0">
        <w:rPr>
          <w:rFonts w:eastAsia="Lato" w:cs="Lato"/>
          <w:color w:val="000000" w:themeColor="text1"/>
        </w:rPr>
        <w:t xml:space="preserve">Onvoldoende kennis van de markt kan de overheidsopdracht – zowel tijdens de plaatsing als </w:t>
      </w:r>
      <w:r w:rsidR="00336A56" w:rsidRPr="006D65B0">
        <w:rPr>
          <w:rFonts w:eastAsia="Lato" w:cs="Lato"/>
          <w:color w:val="000000" w:themeColor="text1"/>
        </w:rPr>
        <w:t xml:space="preserve">de </w:t>
      </w:r>
      <w:r w:rsidRPr="006D65B0">
        <w:rPr>
          <w:rFonts w:eastAsia="Lato" w:cs="Lato"/>
          <w:color w:val="000000" w:themeColor="text1"/>
        </w:rPr>
        <w:t>uitvoering – ernstig bemoeilijken.</w:t>
      </w:r>
      <w:r w:rsidRPr="3BD494F9">
        <w:rPr>
          <w:rFonts w:eastAsia="Lato" w:cs="Lato"/>
          <w:color w:val="000000" w:themeColor="text1"/>
        </w:rPr>
        <w:t xml:space="preserve"> Bij </w:t>
      </w:r>
      <w:r>
        <w:rPr>
          <w:rFonts w:eastAsia="Lato" w:cs="Lato"/>
          <w:color w:val="000000" w:themeColor="text1"/>
        </w:rPr>
        <w:t xml:space="preserve">bijvoorbeeld </w:t>
      </w:r>
      <w:r w:rsidRPr="3BD494F9">
        <w:rPr>
          <w:rFonts w:eastAsia="Lato" w:cs="Lato"/>
          <w:color w:val="000000" w:themeColor="text1"/>
        </w:rPr>
        <w:t xml:space="preserve">de aankoop van tablets voor </w:t>
      </w:r>
      <w:r>
        <w:rPr>
          <w:rFonts w:eastAsia="Lato" w:cs="Lato"/>
          <w:color w:val="000000" w:themeColor="text1"/>
        </w:rPr>
        <w:t xml:space="preserve">een specifieke </w:t>
      </w:r>
      <w:r>
        <w:rPr>
          <w:rFonts w:eastAsia="Lato" w:cs="Lato"/>
          <w:color w:val="000000" w:themeColor="text1"/>
        </w:rPr>
        <w:lastRenderedPageBreak/>
        <w:t>functie met een bepaald veiligheidsniveau</w:t>
      </w:r>
      <w:r w:rsidRPr="3BD494F9">
        <w:rPr>
          <w:rFonts w:eastAsia="Lato" w:cs="Lato"/>
          <w:color w:val="000000" w:themeColor="text1"/>
        </w:rPr>
        <w:t xml:space="preserve"> kan onvoldoende marktonderzoek er </w:t>
      </w:r>
      <w:r>
        <w:rPr>
          <w:rFonts w:eastAsia="Lato" w:cs="Lato"/>
          <w:color w:val="000000" w:themeColor="text1"/>
        </w:rPr>
        <w:t>onder meer</w:t>
      </w:r>
      <w:r w:rsidRPr="3BD494F9">
        <w:rPr>
          <w:rFonts w:eastAsia="Lato" w:cs="Lato"/>
          <w:color w:val="000000" w:themeColor="text1"/>
        </w:rPr>
        <w:t xml:space="preserve"> toe leiden dat </w:t>
      </w:r>
      <w:r>
        <w:rPr>
          <w:rFonts w:eastAsia="Lato" w:cs="Lato"/>
          <w:color w:val="000000" w:themeColor="text1"/>
        </w:rPr>
        <w:t>de aanbesteder</w:t>
      </w:r>
      <w:r w:rsidRPr="3BD494F9">
        <w:rPr>
          <w:rFonts w:eastAsia="Lato" w:cs="Lato"/>
          <w:color w:val="000000" w:themeColor="text1"/>
        </w:rPr>
        <w:t xml:space="preserve"> ten onrechte meent dat slechts één fabrikant de toestellen kan aanleveren, waardoor enkel met die ene fabrikant onderhandeld wordt</w:t>
      </w:r>
      <w:r>
        <w:rPr>
          <w:rFonts w:eastAsia="Lato" w:cs="Lato"/>
          <w:color w:val="000000" w:themeColor="text1"/>
        </w:rPr>
        <w:t>. Dat</w:t>
      </w:r>
      <w:r w:rsidRPr="3BD494F9">
        <w:rPr>
          <w:rFonts w:eastAsia="Lato" w:cs="Lato"/>
          <w:color w:val="000000" w:themeColor="text1"/>
        </w:rPr>
        <w:t xml:space="preserve"> terwijl er voor de gewenste specificaties voldoende alternatieven op de markt zijn.</w:t>
      </w:r>
    </w:p>
    <w:p w14:paraId="0AB6F60B" w14:textId="61F6EE5F" w:rsidR="009E484F" w:rsidRDefault="00C603BF" w:rsidP="008665DA">
      <w:pPr>
        <w:rPr>
          <w:rFonts w:eastAsia="Lato" w:cs="Lato"/>
          <w:color w:val="000000" w:themeColor="text1"/>
        </w:rPr>
      </w:pPr>
      <w:r w:rsidRPr="00C603BF">
        <w:rPr>
          <w:rFonts w:eastAsia="Lato" w:cs="Lato"/>
          <w:color w:val="000000" w:themeColor="text1"/>
        </w:rPr>
        <w:t>Voor de marktverkenning</w:t>
      </w:r>
      <w:r w:rsidR="00213789">
        <w:rPr>
          <w:rFonts w:eastAsia="Lato" w:cs="Lato"/>
          <w:color w:val="000000" w:themeColor="text1"/>
        </w:rPr>
        <w:t xml:space="preserve">, en met het oog op het bevorderen van experimenten en het testen van innovatieve oplossingen, kunnen de federale aanbesteders beroep doen op </w:t>
      </w:r>
      <w:r w:rsidR="00213789" w:rsidRPr="006E73EF">
        <w:rPr>
          <w:rFonts w:eastAsia="Lato" w:cs="Lato"/>
          <w:b/>
          <w:bCs/>
          <w:color w:val="000000" w:themeColor="text1"/>
        </w:rPr>
        <w:t xml:space="preserve">het </w:t>
      </w:r>
      <w:hyperlink r:id="rId61" w:history="1">
        <w:r w:rsidR="00213789" w:rsidRPr="006E73EF">
          <w:rPr>
            <w:rStyle w:val="Hyperlink"/>
            <w:rFonts w:eastAsia="Lato" w:cs="Lato"/>
            <w:b/>
            <w:bCs/>
          </w:rPr>
          <w:t>Nido Innovatielab</w:t>
        </w:r>
      </w:hyperlink>
      <w:r w:rsidR="00213789">
        <w:rPr>
          <w:rFonts w:eastAsia="Lato" w:cs="Lato"/>
          <w:color w:val="000000" w:themeColor="text1"/>
        </w:rPr>
        <w:t xml:space="preserve"> van de FOD BOSA</w:t>
      </w:r>
      <w:r w:rsidR="008665DA">
        <w:rPr>
          <w:rFonts w:eastAsia="Lato" w:cs="Lato"/>
          <w:color w:val="000000" w:themeColor="text1"/>
        </w:rPr>
        <w:t xml:space="preserve">. </w:t>
      </w:r>
      <w:r w:rsidRPr="00C603BF">
        <w:rPr>
          <w:rFonts w:eastAsia="Lato" w:cs="Lato"/>
          <w:color w:val="000000" w:themeColor="text1"/>
        </w:rPr>
        <w:t xml:space="preserve">Daarbij zet </w:t>
      </w:r>
      <w:r w:rsidR="008665DA">
        <w:rPr>
          <w:rFonts w:eastAsia="Lato" w:cs="Lato"/>
          <w:color w:val="000000" w:themeColor="text1"/>
        </w:rPr>
        <w:t xml:space="preserve">het </w:t>
      </w:r>
      <w:r w:rsidRPr="00C603BF">
        <w:rPr>
          <w:rFonts w:eastAsia="Lato" w:cs="Lato"/>
          <w:color w:val="000000" w:themeColor="text1"/>
        </w:rPr>
        <w:t>Nido eveneens in op het bevorderen van de</w:t>
      </w:r>
      <w:r w:rsidR="008665DA">
        <w:rPr>
          <w:rFonts w:eastAsia="Lato" w:cs="Lato"/>
          <w:color w:val="000000" w:themeColor="text1"/>
        </w:rPr>
        <w:t xml:space="preserve"> kmo-participatie.</w:t>
      </w:r>
    </w:p>
    <w:p w14:paraId="0A471850" w14:textId="2EEEC20B" w:rsidR="00E64248" w:rsidRDefault="00E64248" w:rsidP="00E64248">
      <w:pPr>
        <w:rPr>
          <w:rFonts w:eastAsia="Lato" w:cs="Lato"/>
          <w:color w:val="000000" w:themeColor="text1"/>
        </w:rPr>
      </w:pPr>
      <w:r w:rsidRPr="00BF7FB8">
        <w:rPr>
          <w:rFonts w:eastAsia="Lato" w:cs="Lato"/>
          <w:b/>
          <w:bCs/>
          <w:color w:val="000000" w:themeColor="text1"/>
        </w:rPr>
        <w:t>Tot slot nog een aandachtspunt omtrent raamovereenkomsten en prijsherzieningen</w:t>
      </w:r>
      <w:r w:rsidRPr="37980BE0">
        <w:rPr>
          <w:rFonts w:eastAsia="Lato" w:cs="Lato"/>
          <w:color w:val="000000" w:themeColor="text1"/>
        </w:rPr>
        <w:t xml:space="preserve">. Hoewel een raamovereenkomst voordelen </w:t>
      </w:r>
      <w:r>
        <w:rPr>
          <w:rFonts w:eastAsia="Lato" w:cs="Lato"/>
          <w:color w:val="000000" w:themeColor="text1"/>
        </w:rPr>
        <w:t xml:space="preserve">kan </w:t>
      </w:r>
      <w:r w:rsidRPr="37980BE0">
        <w:rPr>
          <w:rFonts w:eastAsia="Lato" w:cs="Lato"/>
          <w:color w:val="000000" w:themeColor="text1"/>
        </w:rPr>
        <w:t>bied</w:t>
      </w:r>
      <w:r>
        <w:rPr>
          <w:rFonts w:eastAsia="Lato" w:cs="Lato"/>
          <w:color w:val="000000" w:themeColor="text1"/>
        </w:rPr>
        <w:t>en voor een aantal specifieke situaties</w:t>
      </w:r>
      <w:r w:rsidRPr="37980BE0">
        <w:rPr>
          <w:rFonts w:eastAsia="Lato" w:cs="Lato"/>
          <w:color w:val="000000" w:themeColor="text1"/>
        </w:rPr>
        <w:t xml:space="preserve">, dient tijdens de marktverkenning goed onderzocht te worden of </w:t>
      </w:r>
      <w:r>
        <w:rPr>
          <w:rFonts w:eastAsia="Lato" w:cs="Lato"/>
          <w:color w:val="000000" w:themeColor="text1"/>
        </w:rPr>
        <w:t>een dergelijke overeenkomst</w:t>
      </w:r>
      <w:r w:rsidRPr="37980BE0">
        <w:rPr>
          <w:rFonts w:eastAsia="Lato" w:cs="Lato"/>
          <w:color w:val="000000" w:themeColor="text1"/>
        </w:rPr>
        <w:t xml:space="preserve"> wel</w:t>
      </w:r>
      <w:r w:rsidR="00594213">
        <w:rPr>
          <w:rFonts w:eastAsia="Lato" w:cs="Lato"/>
          <w:color w:val="000000" w:themeColor="text1"/>
        </w:rPr>
        <w:t xml:space="preserve"> de beste oplossing</w:t>
      </w:r>
      <w:r w:rsidRPr="37980BE0">
        <w:rPr>
          <w:rFonts w:eastAsia="Lato" w:cs="Lato"/>
          <w:color w:val="000000" w:themeColor="text1"/>
        </w:rPr>
        <w:t xml:space="preserve"> is. Hetzelfde geldt voor de prijsherzieningsclausule: </w:t>
      </w:r>
      <w:r>
        <w:rPr>
          <w:rFonts w:eastAsia="Lato" w:cs="Lato"/>
          <w:color w:val="000000" w:themeColor="text1"/>
        </w:rPr>
        <w:t>e</w:t>
      </w:r>
      <w:r w:rsidRPr="37980BE0">
        <w:rPr>
          <w:rFonts w:eastAsia="Lato" w:cs="Lato"/>
          <w:color w:val="000000" w:themeColor="text1"/>
        </w:rPr>
        <w:t>e</w:t>
      </w:r>
      <w:r>
        <w:rPr>
          <w:rFonts w:eastAsia="Lato" w:cs="Lato"/>
          <w:color w:val="000000" w:themeColor="text1"/>
        </w:rPr>
        <w:t>n</w:t>
      </w:r>
      <w:r w:rsidRPr="37980BE0">
        <w:rPr>
          <w:rFonts w:eastAsia="Lato" w:cs="Lato"/>
          <w:color w:val="000000" w:themeColor="text1"/>
        </w:rPr>
        <w:t xml:space="preserve"> marktverkenning kan informatie aanleveren over het aspect “prijs” en de nood aan het voorzien van een prijsherzieningsclausule (</w:t>
      </w:r>
      <w:r w:rsidRPr="00CA7A8C">
        <w:rPr>
          <w:rFonts w:eastAsia="Lato" w:cs="Lato"/>
          <w:color w:val="000000" w:themeColor="text1"/>
        </w:rPr>
        <w:t>inclusief welke maatstaf/index). Voor een gedetailleerde toelichting van de prijsherziening</w:t>
      </w:r>
      <w:r w:rsidR="005227F3" w:rsidRPr="00CA7A8C">
        <w:rPr>
          <w:rFonts w:eastAsia="Lato" w:cs="Lato"/>
          <w:color w:val="000000" w:themeColor="text1"/>
        </w:rPr>
        <w:t>, zie</w:t>
      </w:r>
      <w:r w:rsidRPr="00CA7A8C">
        <w:rPr>
          <w:rFonts w:eastAsia="Lato" w:cs="Lato"/>
          <w:color w:val="000000" w:themeColor="text1"/>
        </w:rPr>
        <w:t xml:space="preserve"> principe </w:t>
      </w:r>
      <w:r w:rsidR="000E48C1" w:rsidRPr="00CA7A8C">
        <w:rPr>
          <w:rFonts w:eastAsia="Lato" w:cs="Lato"/>
          <w:color w:val="000000" w:themeColor="text1"/>
        </w:rPr>
        <w:t>8</w:t>
      </w:r>
      <w:r w:rsidRPr="00CA7A8C">
        <w:rPr>
          <w:rFonts w:eastAsia="Lato" w:cs="Lato"/>
          <w:color w:val="000000" w:themeColor="text1"/>
        </w:rPr>
        <w:t xml:space="preserve">. </w:t>
      </w:r>
      <w:r w:rsidR="006B6EBF" w:rsidRPr="00CA7A8C">
        <w:rPr>
          <w:rFonts w:eastAsia="Lato" w:cs="Lato"/>
          <w:color w:val="000000" w:themeColor="text1"/>
        </w:rPr>
        <w:t>Voor m</w:t>
      </w:r>
      <w:r w:rsidRPr="00CA7A8C">
        <w:rPr>
          <w:rFonts w:eastAsia="Lato" w:cs="Lato"/>
          <w:color w:val="000000" w:themeColor="text1"/>
        </w:rPr>
        <w:t>eer informatie over de raamovereenkomst</w:t>
      </w:r>
      <w:r w:rsidR="006B6EBF" w:rsidRPr="00CA7A8C">
        <w:rPr>
          <w:rFonts w:eastAsia="Lato" w:cs="Lato"/>
          <w:color w:val="000000" w:themeColor="text1"/>
        </w:rPr>
        <w:t xml:space="preserve">, zie </w:t>
      </w:r>
      <w:r w:rsidRPr="00CA7A8C">
        <w:rPr>
          <w:rFonts w:eastAsia="Lato" w:cs="Lato"/>
          <w:color w:val="000000" w:themeColor="text1"/>
        </w:rPr>
        <w:t xml:space="preserve">principe </w:t>
      </w:r>
      <w:r w:rsidR="0094182A" w:rsidRPr="00CA7A8C">
        <w:rPr>
          <w:rFonts w:eastAsia="Lato" w:cs="Lato"/>
          <w:color w:val="000000" w:themeColor="text1"/>
        </w:rPr>
        <w:t>12</w:t>
      </w:r>
      <w:r w:rsidRPr="00CA7A8C">
        <w:rPr>
          <w:rFonts w:eastAsia="Lato" w:cs="Lato"/>
          <w:color w:val="000000" w:themeColor="text1"/>
        </w:rPr>
        <w:t>.</w:t>
      </w:r>
      <w:r>
        <w:rPr>
          <w:rFonts w:eastAsia="Lato" w:cs="Lato"/>
          <w:color w:val="000000" w:themeColor="text1"/>
        </w:rPr>
        <w:t xml:space="preserve"> </w:t>
      </w:r>
    </w:p>
    <w:p w14:paraId="647C6FCE" w14:textId="6C472E2D" w:rsidR="00E64248" w:rsidRDefault="00E64248" w:rsidP="00E64248">
      <w:pPr>
        <w:rPr>
          <w:rFonts w:eastAsia="Lato" w:cs="Lato"/>
          <w:color w:val="000000" w:themeColor="text1"/>
        </w:rPr>
      </w:pPr>
      <w:r w:rsidRPr="00C9691D">
        <w:rPr>
          <w:rFonts w:eastAsia="Lato" w:cs="Lato"/>
          <w:b/>
          <w:bCs/>
          <w:color w:val="000000" w:themeColor="text1"/>
        </w:rPr>
        <w:t>Samenvattend zijn de redenen om de markt</w:t>
      </w:r>
      <w:r w:rsidR="00707D36">
        <w:rPr>
          <w:rFonts w:eastAsia="Lato" w:cs="Lato"/>
          <w:b/>
          <w:bCs/>
          <w:color w:val="000000" w:themeColor="text1"/>
        </w:rPr>
        <w:t xml:space="preserve"> vooraf</w:t>
      </w:r>
      <w:r w:rsidRPr="00C9691D">
        <w:rPr>
          <w:rFonts w:eastAsia="Lato" w:cs="Lato"/>
          <w:b/>
          <w:bCs/>
          <w:color w:val="000000" w:themeColor="text1"/>
        </w:rPr>
        <w:t xml:space="preserve"> te consulteren legio</w:t>
      </w:r>
      <w:r w:rsidRPr="6DAEE100">
        <w:rPr>
          <w:rFonts w:eastAsia="Lato" w:cs="Lato"/>
          <w:color w:val="000000" w:themeColor="text1"/>
        </w:rPr>
        <w:t>: om de behoefte</w:t>
      </w:r>
      <w:r>
        <w:rPr>
          <w:rFonts w:eastAsia="Lato" w:cs="Lato"/>
          <w:color w:val="000000" w:themeColor="text1"/>
        </w:rPr>
        <w:t xml:space="preserve"> verder te definiëren en</w:t>
      </w:r>
      <w:r w:rsidRPr="6DAEE100">
        <w:rPr>
          <w:rFonts w:eastAsia="Lato" w:cs="Lato"/>
          <w:color w:val="000000" w:themeColor="text1"/>
        </w:rPr>
        <w:t xml:space="preserve"> af te toetsen aan de marktrealiteit</w:t>
      </w:r>
      <w:r>
        <w:rPr>
          <w:rFonts w:eastAsia="Lato" w:cs="Lato"/>
          <w:color w:val="000000" w:themeColor="text1"/>
        </w:rPr>
        <w:t xml:space="preserve"> (“de markt leren kennen”)</w:t>
      </w:r>
      <w:r w:rsidRPr="6DAEE100">
        <w:rPr>
          <w:rFonts w:eastAsia="Lato" w:cs="Lato"/>
          <w:color w:val="000000" w:themeColor="text1"/>
        </w:rPr>
        <w:t>, om het bestek zo goed mogelijk af te stemmen op het aanbod of de geldende wetgeving</w:t>
      </w:r>
      <w:r>
        <w:rPr>
          <w:rFonts w:eastAsia="Lato" w:cs="Lato"/>
          <w:color w:val="000000" w:themeColor="text1"/>
        </w:rPr>
        <w:t xml:space="preserve">, </w:t>
      </w:r>
      <w:r w:rsidRPr="6DAEE100">
        <w:rPr>
          <w:rFonts w:eastAsia="Lato" w:cs="Lato"/>
          <w:color w:val="000000" w:themeColor="text1"/>
        </w:rPr>
        <w:t xml:space="preserve">om de mededinging te vergroten, enzovoort. Voor concrete voorbeelden van welke vragen juist gesteld mogen worden </w:t>
      </w:r>
      <w:r>
        <w:rPr>
          <w:rFonts w:eastAsia="Lato" w:cs="Lato"/>
          <w:color w:val="000000" w:themeColor="text1"/>
        </w:rPr>
        <w:t>en</w:t>
      </w:r>
      <w:r w:rsidRPr="6DAEE100">
        <w:rPr>
          <w:rFonts w:eastAsia="Lato" w:cs="Lato"/>
          <w:color w:val="000000" w:themeColor="text1"/>
        </w:rPr>
        <w:t xml:space="preserve"> hoe de verkregen informatie verder gebruikt moet worden, samen met bijkomende aandachtspunten, </w:t>
      </w:r>
      <w:r w:rsidRPr="0059497D">
        <w:rPr>
          <w:rFonts w:eastAsia="Lato" w:cs="Lato"/>
          <w:b/>
          <w:bCs/>
          <w:color w:val="000000" w:themeColor="text1"/>
        </w:rPr>
        <w:t xml:space="preserve">kan verwezen worden naar de </w:t>
      </w:r>
      <w:hyperlink r:id="rId62">
        <w:r w:rsidRPr="0059497D">
          <w:rPr>
            <w:rStyle w:val="Hyperlink"/>
            <w:rFonts w:eastAsia="Lato" w:cs="Lato"/>
            <w:b/>
            <w:bCs/>
          </w:rPr>
          <w:t>praktijkgids</w:t>
        </w:r>
      </w:hyperlink>
      <w:r w:rsidRPr="0059497D">
        <w:rPr>
          <w:rFonts w:eastAsia="Lato" w:cs="Lato"/>
          <w:b/>
          <w:bCs/>
          <w:color w:val="000000" w:themeColor="text1"/>
        </w:rPr>
        <w:t xml:space="preserve"> van FOD BOSA</w:t>
      </w:r>
      <w:r w:rsidRPr="6DAEE100">
        <w:rPr>
          <w:rFonts w:eastAsia="Lato" w:cs="Lato"/>
          <w:color w:val="000000" w:themeColor="text1"/>
        </w:rPr>
        <w:t xml:space="preserve">. Hieronder volgen ten slotte twee voorbeelden </w:t>
      </w:r>
      <w:r>
        <w:rPr>
          <w:rFonts w:eastAsia="Lato" w:cs="Lato"/>
          <w:color w:val="000000" w:themeColor="text1"/>
        </w:rPr>
        <w:t>over</w:t>
      </w:r>
      <w:r w:rsidRPr="6DAEE100">
        <w:rPr>
          <w:rFonts w:eastAsia="Lato" w:cs="Lato"/>
          <w:color w:val="000000" w:themeColor="text1"/>
        </w:rPr>
        <w:t xml:space="preserve"> hoe een marktconsultatie wel/niet moet.</w:t>
      </w:r>
    </w:p>
    <w:p w14:paraId="14DA1B43" w14:textId="77777777" w:rsidR="00E64248" w:rsidRDefault="00E64248" w:rsidP="00AB50E2">
      <w:pPr>
        <w:pBdr>
          <w:top w:val="single" w:sz="4" w:space="1" w:color="auto"/>
          <w:left w:val="single" w:sz="4" w:space="4" w:color="auto"/>
          <w:bottom w:val="single" w:sz="4" w:space="1" w:color="auto"/>
          <w:right w:val="single" w:sz="4" w:space="4" w:color="auto"/>
        </w:pBdr>
        <w:rPr>
          <w:rFonts w:eastAsia="Lato" w:cs="Lato"/>
          <w:i/>
          <w:iCs/>
          <w:color w:val="000000" w:themeColor="text1"/>
        </w:rPr>
      </w:pPr>
      <w:r w:rsidRPr="37980BE0">
        <w:rPr>
          <w:rFonts w:eastAsia="Lato" w:cs="Lato"/>
          <w:i/>
          <w:iCs/>
          <w:color w:val="000000" w:themeColor="text1"/>
        </w:rPr>
        <w:t xml:space="preserve">Voorbeeld: </w:t>
      </w:r>
      <w:r>
        <w:rPr>
          <w:rFonts w:eastAsia="Lato" w:cs="Lato"/>
          <w:i/>
          <w:iCs/>
          <w:color w:val="000000" w:themeColor="text1"/>
        </w:rPr>
        <w:t xml:space="preserve">een </w:t>
      </w:r>
      <w:r w:rsidRPr="37980BE0">
        <w:rPr>
          <w:rFonts w:eastAsia="Lato" w:cs="Lato"/>
          <w:i/>
          <w:iCs/>
          <w:color w:val="000000" w:themeColor="text1"/>
        </w:rPr>
        <w:t>opdracht voor het bedrukken van omslagen</w:t>
      </w:r>
    </w:p>
    <w:p w14:paraId="0E54A2A0" w14:textId="53E5268A" w:rsidR="00E64248" w:rsidRDefault="00E64248" w:rsidP="00AB50E2">
      <w:pPr>
        <w:pBdr>
          <w:top w:val="single" w:sz="4" w:space="1" w:color="auto"/>
          <w:left w:val="single" w:sz="4" w:space="4" w:color="auto"/>
          <w:bottom w:val="single" w:sz="4" w:space="1" w:color="auto"/>
          <w:right w:val="single" w:sz="4" w:space="4" w:color="auto"/>
        </w:pBdr>
        <w:rPr>
          <w:rFonts w:eastAsia="Lato" w:cs="Lato"/>
          <w:color w:val="000000" w:themeColor="text1"/>
        </w:rPr>
      </w:pPr>
      <w:r>
        <w:rPr>
          <w:rFonts w:eastAsia="Lato" w:cs="Lato"/>
          <w:color w:val="000000" w:themeColor="text1"/>
        </w:rPr>
        <w:t>Een</w:t>
      </w:r>
      <w:r w:rsidRPr="37980BE0">
        <w:rPr>
          <w:rFonts w:eastAsia="Lato" w:cs="Lato"/>
          <w:color w:val="000000" w:themeColor="text1"/>
        </w:rPr>
        <w:t xml:space="preserve"> organisatie gebruikte allerlei soorten omslagen in verschillende formaten en kleuren. De marktconsultatie</w:t>
      </w:r>
      <w:r w:rsidR="00B809C6">
        <w:rPr>
          <w:rFonts w:eastAsia="Lato" w:cs="Lato"/>
          <w:color w:val="000000" w:themeColor="text1"/>
        </w:rPr>
        <w:t xml:space="preserve">, met name een </w:t>
      </w:r>
      <w:r w:rsidRPr="37980BE0">
        <w:rPr>
          <w:rFonts w:eastAsia="Lato" w:cs="Lato"/>
          <w:color w:val="000000" w:themeColor="text1"/>
        </w:rPr>
        <w:t>ontmoeting met verschillende ondernemers</w:t>
      </w:r>
      <w:r w:rsidR="00B809C6">
        <w:rPr>
          <w:rFonts w:eastAsia="Lato" w:cs="Lato"/>
          <w:color w:val="000000" w:themeColor="text1"/>
        </w:rPr>
        <w:t>,</w:t>
      </w:r>
      <w:r w:rsidRPr="37980BE0">
        <w:rPr>
          <w:rFonts w:eastAsia="Lato" w:cs="Lato"/>
          <w:color w:val="000000" w:themeColor="text1"/>
        </w:rPr>
        <w:t xml:space="preserve"> bracht aan het licht dat de organisatie tot dan toe omslagformaten gebruikte die niet standaard zijn en dus duurder uitvallen. Maar eigenlijk heeft de organisatie die duurdere, speciale formaten helemaal niet nodig. De marktconsultatie stelde de organisatie dus in staat om rationeler om te springen met omslagformaten en op die manier geld te besparen.</w:t>
      </w:r>
    </w:p>
    <w:p w14:paraId="5FEF79F6" w14:textId="77777777" w:rsidR="00E64248" w:rsidRDefault="00E64248" w:rsidP="00AB50E2">
      <w:pPr>
        <w:pBdr>
          <w:top w:val="single" w:sz="4" w:space="1" w:color="auto"/>
          <w:left w:val="single" w:sz="4" w:space="4" w:color="auto"/>
          <w:bottom w:val="single" w:sz="4" w:space="1" w:color="auto"/>
          <w:right w:val="single" w:sz="4" w:space="4" w:color="auto"/>
        </w:pBdr>
        <w:rPr>
          <w:rFonts w:eastAsia="Lato" w:cs="Lato"/>
          <w:i/>
          <w:iCs/>
          <w:color w:val="000000" w:themeColor="text1"/>
        </w:rPr>
      </w:pPr>
      <w:r w:rsidRPr="50411D6D">
        <w:rPr>
          <w:rFonts w:eastAsia="Lato" w:cs="Lato"/>
          <w:i/>
          <w:iCs/>
          <w:color w:val="000000" w:themeColor="text1"/>
        </w:rPr>
        <w:t xml:space="preserve">Voorbeeld: </w:t>
      </w:r>
      <w:r>
        <w:rPr>
          <w:rFonts w:eastAsia="Lato" w:cs="Lato"/>
          <w:i/>
          <w:iCs/>
          <w:color w:val="000000" w:themeColor="text1"/>
        </w:rPr>
        <w:t xml:space="preserve">een </w:t>
      </w:r>
      <w:r w:rsidRPr="50411D6D">
        <w:rPr>
          <w:rFonts w:eastAsia="Lato" w:cs="Lato"/>
          <w:i/>
          <w:iCs/>
          <w:color w:val="000000" w:themeColor="text1"/>
        </w:rPr>
        <w:t>opdracht voor levering van werkkledij</w:t>
      </w:r>
    </w:p>
    <w:p w14:paraId="0126C829" w14:textId="23C3036C" w:rsidR="00E64248" w:rsidRDefault="00E64248" w:rsidP="00AB50E2">
      <w:pPr>
        <w:pBdr>
          <w:top w:val="single" w:sz="4" w:space="1" w:color="auto"/>
          <w:left w:val="single" w:sz="4" w:space="4" w:color="auto"/>
          <w:bottom w:val="single" w:sz="4" w:space="1" w:color="auto"/>
          <w:right w:val="single" w:sz="4" w:space="4" w:color="auto"/>
        </w:pBdr>
        <w:rPr>
          <w:rFonts w:eastAsia="Lato" w:cs="Lato"/>
          <w:color w:val="000000" w:themeColor="text1"/>
        </w:rPr>
      </w:pPr>
      <w:r>
        <w:rPr>
          <w:rFonts w:eastAsia="Lato" w:cs="Lato"/>
          <w:color w:val="000000" w:themeColor="text1"/>
        </w:rPr>
        <w:t>Een</w:t>
      </w:r>
      <w:r w:rsidRPr="50411D6D">
        <w:rPr>
          <w:rFonts w:eastAsia="Lato" w:cs="Lato"/>
          <w:color w:val="000000" w:themeColor="text1"/>
        </w:rPr>
        <w:t xml:space="preserve"> organisatie was van plan om werkkledij te kopen en had een studie gemaakt over de eigenschappen van de stoffen. Daaruit had ze</w:t>
      </w:r>
      <w:r>
        <w:rPr>
          <w:rFonts w:eastAsia="Lato" w:cs="Lato"/>
          <w:color w:val="000000" w:themeColor="text1"/>
        </w:rPr>
        <w:t xml:space="preserve"> een aantal</w:t>
      </w:r>
      <w:r w:rsidRPr="50411D6D">
        <w:rPr>
          <w:rFonts w:eastAsia="Lato" w:cs="Lato"/>
          <w:color w:val="000000" w:themeColor="text1"/>
        </w:rPr>
        <w:t xml:space="preserve"> </w:t>
      </w:r>
      <w:r w:rsidR="00B61FCB">
        <w:rPr>
          <w:rFonts w:eastAsia="Lato" w:cs="Lato"/>
          <w:color w:val="000000" w:themeColor="text1"/>
        </w:rPr>
        <w:t xml:space="preserve">specifieke </w:t>
      </w:r>
      <w:r w:rsidRPr="50411D6D">
        <w:rPr>
          <w:rFonts w:eastAsia="Lato" w:cs="Lato"/>
          <w:color w:val="000000" w:themeColor="text1"/>
        </w:rPr>
        <w:t>eigenschappen afgeleid om</w:t>
      </w:r>
      <w:r w:rsidR="00B61FCB">
        <w:rPr>
          <w:rFonts w:eastAsia="Lato" w:cs="Lato"/>
          <w:color w:val="000000" w:themeColor="text1"/>
        </w:rPr>
        <w:t xml:space="preserve"> zo</w:t>
      </w:r>
      <w:r w:rsidRPr="50411D6D">
        <w:rPr>
          <w:rFonts w:eastAsia="Lato" w:cs="Lato"/>
          <w:color w:val="000000" w:themeColor="text1"/>
        </w:rPr>
        <w:t xml:space="preserve"> de beste kwaliteit te krijgen voor </w:t>
      </w:r>
      <w:r w:rsidRPr="00365E2A">
        <w:rPr>
          <w:rFonts w:eastAsia="Lato" w:cs="Lato"/>
          <w:i/>
          <w:iCs/>
          <w:color w:val="000000" w:themeColor="text1"/>
        </w:rPr>
        <w:t>elk</w:t>
      </w:r>
      <w:r w:rsidRPr="50411D6D">
        <w:rPr>
          <w:rFonts w:eastAsia="Lato" w:cs="Lato"/>
          <w:color w:val="000000" w:themeColor="text1"/>
        </w:rPr>
        <w:t xml:space="preserve"> criterium, meer bepaald de sterkte van de stof, het gewicht, de vuurvastheid... De technische bepalingen werden dus </w:t>
      </w:r>
      <w:r w:rsidR="006024CA">
        <w:rPr>
          <w:rFonts w:eastAsia="Lato" w:cs="Lato"/>
          <w:color w:val="000000" w:themeColor="text1"/>
        </w:rPr>
        <w:t xml:space="preserve">zodanig </w:t>
      </w:r>
      <w:r w:rsidRPr="50411D6D">
        <w:rPr>
          <w:rFonts w:eastAsia="Lato" w:cs="Lato"/>
          <w:color w:val="000000" w:themeColor="text1"/>
        </w:rPr>
        <w:t xml:space="preserve">opgesteld om stoffen te bekomen die aan </w:t>
      </w:r>
      <w:r w:rsidR="006024CA">
        <w:rPr>
          <w:rFonts w:eastAsia="Lato" w:cs="Lato"/>
          <w:color w:val="000000" w:themeColor="text1"/>
        </w:rPr>
        <w:t xml:space="preserve">al </w:t>
      </w:r>
      <w:r w:rsidRPr="50411D6D">
        <w:rPr>
          <w:rFonts w:eastAsia="Lato" w:cs="Lato"/>
          <w:color w:val="000000" w:themeColor="text1"/>
        </w:rPr>
        <w:t xml:space="preserve">deze eisen beantwoorden. </w:t>
      </w:r>
    </w:p>
    <w:p w14:paraId="47D96EB0" w14:textId="77777777" w:rsidR="00E64248" w:rsidRDefault="00E64248" w:rsidP="00AB50E2">
      <w:pPr>
        <w:pBdr>
          <w:top w:val="single" w:sz="4" w:space="1" w:color="auto"/>
          <w:left w:val="single" w:sz="4" w:space="4" w:color="auto"/>
          <w:bottom w:val="single" w:sz="4" w:space="1" w:color="auto"/>
          <w:right w:val="single" w:sz="4" w:space="4" w:color="auto"/>
        </w:pBdr>
        <w:rPr>
          <w:rFonts w:eastAsia="Lato" w:cs="Lato"/>
          <w:color w:val="000000" w:themeColor="text1"/>
        </w:rPr>
      </w:pPr>
      <w:r w:rsidRPr="50411D6D">
        <w:rPr>
          <w:rFonts w:eastAsia="Lato" w:cs="Lato"/>
          <w:color w:val="000000" w:themeColor="text1"/>
        </w:rPr>
        <w:t>Maar</w:t>
      </w:r>
      <w:r>
        <w:rPr>
          <w:rFonts w:eastAsia="Lato" w:cs="Lato"/>
          <w:color w:val="000000" w:themeColor="text1"/>
        </w:rPr>
        <w:t>,</w:t>
      </w:r>
      <w:r w:rsidRPr="50411D6D">
        <w:rPr>
          <w:rFonts w:eastAsia="Lato" w:cs="Lato"/>
          <w:color w:val="000000" w:themeColor="text1"/>
        </w:rPr>
        <w:t xml:space="preserve"> na ontvangst van de offertes bleek de combinatie van de verschillende criteria onmogelijk, met als gevolg dat er een nieuwe aanbesteding gelanceerd moest worden. Een laatste prospectieronde op het einde van de studie zou aangetoond hebben dat geen enkele marktspeler in staat is een stof aan te bieden die alle technische eisen met elkaar combineert.</w:t>
      </w:r>
    </w:p>
    <w:p w14:paraId="5C2A1B46" w14:textId="45E801AB" w:rsidR="00C63F7C" w:rsidRDefault="00C63F7C" w:rsidP="00C63F7C">
      <w:pPr>
        <w:pStyle w:val="Kop4"/>
        <w:rPr>
          <w:rFonts w:eastAsia="Lato"/>
          <w:lang w:val="nl-BE"/>
        </w:rPr>
      </w:pPr>
      <w:r>
        <w:rPr>
          <w:rFonts w:eastAsia="Lato"/>
          <w:lang w:val="nl-BE"/>
        </w:rPr>
        <w:t>Alternatief/aanvulling</w:t>
      </w:r>
    </w:p>
    <w:p w14:paraId="082D2E0D" w14:textId="38BB3717" w:rsidR="008F4D5D" w:rsidRDefault="00EA06A1" w:rsidP="00C63F7C">
      <w:r>
        <w:t>Als alternatief voor een</w:t>
      </w:r>
      <w:r w:rsidR="00B80177">
        <w:t xml:space="preserve"> door de aanbesteder uitgevoerde</w:t>
      </w:r>
      <w:r>
        <w:t xml:space="preserve"> voorafgaande markt</w:t>
      </w:r>
      <w:r w:rsidR="00193BD9">
        <w:t xml:space="preserve">consultatie kan </w:t>
      </w:r>
      <w:r w:rsidR="00ED68FE">
        <w:t xml:space="preserve">de aanbesteder </w:t>
      </w:r>
      <w:r w:rsidR="00193BD9">
        <w:t>ook overw</w:t>
      </w:r>
      <w:r w:rsidR="00ED68FE">
        <w:t>e</w:t>
      </w:r>
      <w:r w:rsidR="00193BD9">
        <w:t xml:space="preserve">gen om een voorafgaande impactstudie of voorstudie </w:t>
      </w:r>
      <w:r w:rsidR="00645903">
        <w:t xml:space="preserve">te lanceren. De resultaten van een dergelijke studie kunnen dan gebruikt worden als input bij het finaliseren van de behoeftebepaling </w:t>
      </w:r>
      <w:r w:rsidR="008F4D5D">
        <w:t>en een voorafgaande marktconsultatie aanvullen of zelfs vervangen.</w:t>
      </w:r>
    </w:p>
    <w:p w14:paraId="1D36ED19" w14:textId="77777777" w:rsidR="00A12AC3" w:rsidRDefault="008F4D5D" w:rsidP="00C63F7C">
      <w:r>
        <w:t xml:space="preserve">Een dergelijke </w:t>
      </w:r>
      <w:r w:rsidR="00073F76">
        <w:t>aanvullende</w:t>
      </w:r>
      <w:r>
        <w:t xml:space="preserve"> studie</w:t>
      </w:r>
      <w:r w:rsidR="0084083F">
        <w:t xml:space="preserve"> kan aangewezen zijn voor</w:t>
      </w:r>
      <w:r w:rsidR="00073F76">
        <w:t xml:space="preserve"> bijvoorbeeld</w:t>
      </w:r>
      <w:r w:rsidR="0084083F">
        <w:t xml:space="preserve"> complexe overheidsopdrachten waar </w:t>
      </w:r>
      <w:r w:rsidR="0089720B">
        <w:t>de aanbesteder over geen enkele voorke</w:t>
      </w:r>
      <w:r w:rsidR="00E44FA3">
        <w:t>nnis, noch ervaring beschikt.</w:t>
      </w:r>
    </w:p>
    <w:p w14:paraId="63EC4A62" w14:textId="77777777" w:rsidR="00AA423B" w:rsidRDefault="00A12AC3" w:rsidP="00F641BD">
      <w:r w:rsidRPr="002D758E">
        <w:rPr>
          <w:b/>
          <w:bCs/>
        </w:rPr>
        <w:t xml:space="preserve">Het is aangewezen om de nodige transparantie aan de dag te leggen </w:t>
      </w:r>
      <w:r w:rsidR="00FE5F4E" w:rsidRPr="002D758E">
        <w:rPr>
          <w:b/>
          <w:bCs/>
        </w:rPr>
        <w:t>over de resultaten van een dergelijke studie naar de potentiële inschrijvers toe</w:t>
      </w:r>
      <w:r w:rsidR="00FE5F4E">
        <w:t>. Dat zal ook de kwaliteit van de offertes ten goede komen.</w:t>
      </w:r>
    </w:p>
    <w:p w14:paraId="7026AB83" w14:textId="4833DB68" w:rsidR="00005645" w:rsidRPr="00906920" w:rsidRDefault="007A717E" w:rsidP="00DE41BF">
      <w:pPr>
        <w:pStyle w:val="Kop4"/>
        <w:rPr>
          <w:lang w:val="nl-BE"/>
        </w:rPr>
      </w:pPr>
      <w:r w:rsidRPr="00906920">
        <w:rPr>
          <w:lang w:val="nl-BE"/>
        </w:rPr>
        <w:lastRenderedPageBreak/>
        <w:t>Overheidsopdrachten voor werken – de STL</w:t>
      </w:r>
    </w:p>
    <w:p w14:paraId="59C4CA0A" w14:textId="3A65015A" w:rsidR="00E01D7B" w:rsidRDefault="00A45D9D" w:rsidP="00E01D7B">
      <w:r>
        <w:t>Bij</w:t>
      </w:r>
      <w:r w:rsidR="00005645">
        <w:t xml:space="preserve"> overheidsopdrachten voor werken kan tot slot verwezen worden naar de “</w:t>
      </w:r>
      <w:hyperlink r:id="rId63" w:history="1">
        <w:r w:rsidR="00005645" w:rsidRPr="009F4381">
          <w:rPr>
            <w:rStyle w:val="Hyperlink"/>
          </w:rPr>
          <w:t>Standaard Taken Lijst</w:t>
        </w:r>
      </w:hyperlink>
      <w:r w:rsidR="00005645">
        <w:t>” (STL)</w:t>
      </w:r>
      <w:r w:rsidR="003F51ED">
        <w:rPr>
          <w:rStyle w:val="Voetnootmarkering"/>
        </w:rPr>
        <w:footnoteReference w:id="3"/>
      </w:r>
      <w:r w:rsidR="00005645">
        <w:t xml:space="preserve">. </w:t>
      </w:r>
      <w:r w:rsidR="00447B40">
        <w:t>Het betreft een lijst in de vorm van</w:t>
      </w:r>
      <w:r w:rsidR="008F4D5D">
        <w:t xml:space="preserve"> </w:t>
      </w:r>
      <w:r w:rsidR="00447B40">
        <w:t>een tabel waarin alle taken en verantwoordelijkheden die horen bij een bouwproject, opgesomd werden en ingevuld kunnen worden door alle partijen die betrokken zijn bij het ontwerp, de vergunning en de realisatie van bouwprojecten.</w:t>
      </w:r>
    </w:p>
    <w:p w14:paraId="27F0BBA3" w14:textId="52E19191" w:rsidR="00DE41BF" w:rsidRDefault="00A45D9D" w:rsidP="00DE41BF">
      <w:r>
        <w:t xml:space="preserve">De STL </w:t>
      </w:r>
      <w:r w:rsidR="00781633">
        <w:t>wordt hier vermeld omwille van twee redene</w:t>
      </w:r>
      <w:r w:rsidR="00E01D7B">
        <w:t xml:space="preserve">n. </w:t>
      </w:r>
      <w:r w:rsidR="008665AA">
        <w:t>Ten eerste</w:t>
      </w:r>
      <w:r w:rsidR="00E01D7B">
        <w:t xml:space="preserve"> is de STL een voorbeeld van de toegevoegde waarde van een marktverkenning</w:t>
      </w:r>
      <w:r w:rsidR="00AD4234">
        <w:t xml:space="preserve">. Een aanbesteder </w:t>
      </w:r>
      <w:r w:rsidR="00A255B0">
        <w:t>met weinig voorkennis die tijdens een marktverkenning</w:t>
      </w:r>
      <w:r w:rsidR="008665AA">
        <w:t>, bijvoorbeeld onder de vorm van een deskresearch,</w:t>
      </w:r>
      <w:r w:rsidR="00A255B0">
        <w:t xml:space="preserve"> op een dergelijk instrument stoot, zal er veel nut uit halen. </w:t>
      </w:r>
    </w:p>
    <w:p w14:paraId="0323E1FB" w14:textId="439A5068" w:rsidR="00781633" w:rsidRPr="00DE41BF" w:rsidRDefault="008665AA" w:rsidP="00DE41BF">
      <w:r>
        <w:t>Ten tweede</w:t>
      </w:r>
      <w:r w:rsidR="0059614E">
        <w:t xml:space="preserve"> kan het gebruik van die lijst bij</w:t>
      </w:r>
      <w:r w:rsidR="004A2F11">
        <w:t xml:space="preserve"> het uitwerken van</w:t>
      </w:r>
      <w:r w:rsidR="0059614E">
        <w:t xml:space="preserve"> overheidsopdrachten voor werken</w:t>
      </w:r>
      <w:r w:rsidR="004A2F11">
        <w:t>, onder meer</w:t>
      </w:r>
      <w:r w:rsidR="00857AF4">
        <w:t xml:space="preserve"> bij het bepalen van de behoefte en het verkennen van de markt</w:t>
      </w:r>
      <w:r w:rsidR="005C1CEB">
        <w:t xml:space="preserve"> (maar ook tijdens latere fases)</w:t>
      </w:r>
      <w:r w:rsidR="00857AF4">
        <w:t>, als een best practice</w:t>
      </w:r>
      <w:r w:rsidR="0059614E">
        <w:t xml:space="preserve"> beschouwd worden. </w:t>
      </w:r>
      <w:r w:rsidR="00641C78">
        <w:t>Het charter vraagt dan ook om</w:t>
      </w:r>
      <w:r w:rsidR="00747D80">
        <w:t>,</w:t>
      </w:r>
      <w:r w:rsidR="00641C78">
        <w:t xml:space="preserve"> wanneer van toepassing</w:t>
      </w:r>
      <w:r w:rsidR="00747D80">
        <w:t>,</w:t>
      </w:r>
      <w:r w:rsidR="00EE762A">
        <w:t xml:space="preserve"> consequent gebruik te maken van de STL</w:t>
      </w:r>
      <w:r w:rsidR="00DC0D6C">
        <w:t xml:space="preserve"> als </w:t>
      </w:r>
      <w:r w:rsidR="0061398B">
        <w:t>hulpinstrument</w:t>
      </w:r>
      <w:r w:rsidR="00EE762A">
        <w:t xml:space="preserve">. </w:t>
      </w:r>
    </w:p>
    <w:p w14:paraId="3FF85089" w14:textId="4F9E3F40" w:rsidR="002F3F8C" w:rsidRDefault="002F3F8C">
      <w:pPr>
        <w:pStyle w:val="Kop3"/>
        <w:rPr>
          <w:rFonts w:eastAsia="Lato"/>
        </w:rPr>
      </w:pPr>
      <w:bookmarkStart w:id="38" w:name="_Toc135839940"/>
      <w:bookmarkStart w:id="39" w:name="_Toc150870545"/>
      <w:r>
        <w:rPr>
          <w:rFonts w:eastAsia="Lato"/>
        </w:rPr>
        <w:t>Een gepaste bekendmaking</w:t>
      </w:r>
      <w:bookmarkEnd w:id="38"/>
      <w:bookmarkEnd w:id="39"/>
    </w:p>
    <w:p w14:paraId="3E50FD3B" w14:textId="7AB37ED7" w:rsidR="004C43C0" w:rsidRDefault="004C43C0" w:rsidP="004C43C0">
      <w:pPr>
        <w:rPr>
          <w:rFonts w:eastAsia="Lato" w:cs="Lato"/>
          <w:color w:val="000000" w:themeColor="text1"/>
        </w:rPr>
      </w:pPr>
      <w:r w:rsidRPr="00E21B74">
        <w:rPr>
          <w:rFonts w:eastAsia="Lato" w:cs="Lato"/>
          <w:b/>
          <w:bCs/>
          <w:color w:val="000000" w:themeColor="text1"/>
        </w:rPr>
        <w:t>Een gepaste bekendmaking van overheidsopdrachten is cruciaal om een opdracht succesvol te kunnen plaatsen</w:t>
      </w:r>
      <w:r w:rsidRPr="37980BE0">
        <w:rPr>
          <w:rFonts w:eastAsia="Lato" w:cs="Lato"/>
          <w:color w:val="000000" w:themeColor="text1"/>
        </w:rPr>
        <w:t xml:space="preserve">. </w:t>
      </w:r>
      <w:r>
        <w:rPr>
          <w:rFonts w:eastAsia="Lato" w:cs="Lato"/>
          <w:color w:val="000000" w:themeColor="text1"/>
        </w:rPr>
        <w:t>Een</w:t>
      </w:r>
      <w:r w:rsidRPr="37980BE0">
        <w:rPr>
          <w:rFonts w:eastAsia="Lato" w:cs="Lato"/>
          <w:color w:val="000000" w:themeColor="text1"/>
        </w:rPr>
        <w:t xml:space="preserve"> aanbesteder beschikt</w:t>
      </w:r>
      <w:r>
        <w:rPr>
          <w:rFonts w:eastAsia="Lato" w:cs="Lato"/>
          <w:color w:val="000000" w:themeColor="text1"/>
        </w:rPr>
        <w:t>, naast de in de wetgeving voorziene bekendmakingsvoorschriften per type opdracht en plaatsingsprocedure,</w:t>
      </w:r>
      <w:r w:rsidRPr="37980BE0">
        <w:rPr>
          <w:rFonts w:eastAsia="Lato" w:cs="Lato"/>
          <w:color w:val="000000" w:themeColor="text1"/>
        </w:rPr>
        <w:t xml:space="preserve"> in dit kader over een aantal bijkomende </w:t>
      </w:r>
      <w:r w:rsidR="00501185">
        <w:rPr>
          <w:rFonts w:eastAsia="Lato" w:cs="Lato"/>
          <w:color w:val="000000" w:themeColor="text1"/>
        </w:rPr>
        <w:t>instrumenten</w:t>
      </w:r>
      <w:r w:rsidRPr="37980BE0">
        <w:rPr>
          <w:rFonts w:eastAsia="Lato" w:cs="Lato"/>
          <w:color w:val="000000" w:themeColor="text1"/>
        </w:rPr>
        <w:t>, waarvan we hieronder de meest relevante bespreken</w:t>
      </w:r>
      <w:r>
        <w:rPr>
          <w:rFonts w:eastAsia="Lato" w:cs="Lato"/>
          <w:color w:val="000000" w:themeColor="text1"/>
        </w:rPr>
        <w:t xml:space="preserve"> - namelijk:</w:t>
      </w:r>
      <w:r w:rsidRPr="37980BE0">
        <w:rPr>
          <w:rFonts w:eastAsia="Lato" w:cs="Lato"/>
          <w:color w:val="000000" w:themeColor="text1"/>
        </w:rPr>
        <w:t xml:space="preserve"> de vooraankondiging, </w:t>
      </w:r>
      <w:r w:rsidR="00775E9C">
        <w:rPr>
          <w:rFonts w:eastAsia="Lato" w:cs="Lato"/>
          <w:color w:val="000000" w:themeColor="text1"/>
        </w:rPr>
        <w:t>h</w:t>
      </w:r>
      <w:r w:rsidR="00775E9C" w:rsidRPr="37980BE0">
        <w:rPr>
          <w:rFonts w:eastAsia="Lato" w:cs="Lato"/>
          <w:color w:val="000000" w:themeColor="text1"/>
        </w:rPr>
        <w:t>e</w:t>
      </w:r>
      <w:r w:rsidR="00775E9C">
        <w:rPr>
          <w:rFonts w:eastAsia="Lato" w:cs="Lato"/>
          <w:color w:val="000000" w:themeColor="text1"/>
        </w:rPr>
        <w:t>t vroegere</w:t>
      </w:r>
      <w:r w:rsidR="00775E9C" w:rsidRPr="37980BE0">
        <w:rPr>
          <w:rFonts w:eastAsia="Lato" w:cs="Lato"/>
          <w:color w:val="000000" w:themeColor="text1"/>
        </w:rPr>
        <w:t xml:space="preserve"> </w:t>
      </w:r>
      <w:r w:rsidR="00775E9C">
        <w:rPr>
          <w:rFonts w:eastAsia="Lato" w:cs="Lato"/>
          <w:color w:val="000000" w:themeColor="text1"/>
        </w:rPr>
        <w:t>“</w:t>
      </w:r>
      <w:r w:rsidR="00775E9C" w:rsidRPr="37980BE0">
        <w:rPr>
          <w:rFonts w:eastAsia="Lato" w:cs="Lato"/>
          <w:i/>
          <w:iCs/>
          <w:color w:val="000000" w:themeColor="text1"/>
        </w:rPr>
        <w:t>Request for Information</w:t>
      </w:r>
      <w:r w:rsidR="00775E9C">
        <w:rPr>
          <w:rFonts w:eastAsia="Lato" w:cs="Lato"/>
          <w:color w:val="000000" w:themeColor="text1"/>
        </w:rPr>
        <w:t>” (RFI) en vandaag de “</w:t>
      </w:r>
      <w:r w:rsidR="00775E9C">
        <w:rPr>
          <w:rFonts w:eastAsia="Lato" w:cs="Lato"/>
          <w:i/>
          <w:iCs/>
          <w:color w:val="000000" w:themeColor="text1"/>
        </w:rPr>
        <w:t>Preliminary market consultation</w:t>
      </w:r>
      <w:r w:rsidR="00775E9C">
        <w:rPr>
          <w:rFonts w:eastAsia="Lato" w:cs="Lato"/>
          <w:color w:val="000000" w:themeColor="text1"/>
        </w:rPr>
        <w:t>” (PMC) of de “Voorafgaande marktconsultatie” genoemd,</w:t>
      </w:r>
      <w:r w:rsidR="00775E9C" w:rsidRPr="37980BE0">
        <w:rPr>
          <w:rFonts w:eastAsia="Lato" w:cs="Lato"/>
          <w:color w:val="000000" w:themeColor="text1"/>
        </w:rPr>
        <w:t xml:space="preserve"> </w:t>
      </w:r>
      <w:r w:rsidRPr="37980BE0">
        <w:rPr>
          <w:rFonts w:eastAsia="Lato" w:cs="Lato"/>
          <w:color w:val="000000" w:themeColor="text1"/>
        </w:rPr>
        <w:t>de vrijwillige bekendmaking,</w:t>
      </w:r>
      <w:r w:rsidRPr="37980BE0">
        <w:rPr>
          <w:rFonts w:eastAsia="Lato" w:cs="Lato"/>
          <w:i/>
          <w:iCs/>
          <w:color w:val="000000" w:themeColor="text1"/>
        </w:rPr>
        <w:t xml:space="preserve"> </w:t>
      </w:r>
      <w:r w:rsidRPr="37980BE0">
        <w:rPr>
          <w:rFonts w:eastAsia="Lato" w:cs="Lato"/>
          <w:color w:val="000000" w:themeColor="text1"/>
        </w:rPr>
        <w:t>en</w:t>
      </w:r>
      <w:r>
        <w:rPr>
          <w:rFonts w:eastAsia="Lato" w:cs="Lato"/>
          <w:color w:val="000000" w:themeColor="text1"/>
        </w:rPr>
        <w:t xml:space="preserve"> tot slot</w:t>
      </w:r>
      <w:r w:rsidRPr="37980BE0">
        <w:rPr>
          <w:rFonts w:eastAsia="Lato" w:cs="Lato"/>
          <w:color w:val="000000" w:themeColor="text1"/>
        </w:rPr>
        <w:t xml:space="preserve"> het organiseren van informatiesessies.</w:t>
      </w:r>
    </w:p>
    <w:p w14:paraId="149FF1DD" w14:textId="77777777" w:rsidR="00B44EF8" w:rsidRPr="00B44EF8" w:rsidRDefault="00B44EF8" w:rsidP="00316C49">
      <w:r w:rsidRPr="00B44EF8">
        <w:t xml:space="preserve">Merken we eerst en vooral op dat, in het kader van een gepaste bekendmaking, het van belang is dat de opdrachtdocumenten tijdig gepubliceerd worden. Het is dan ook extreem belangrijk dat de aanbesteder minstens de wettelijke verplichtingen op dat vlak respecteert. De aanbesteder is namelijk verplicht om de opdrachtdocumenten onmiddellijk bij de bekendmaking elektronisch toegankelijk te maken, stelt artikel 64 van de wet overheidsopdrachten. De toegang dient vrij, volledig, rechtstreeks en kosteloos te zijn. Voor twee- en meerfasige procedures, zie principe 3, kan de verplichting “bij de bekendmaking” inhouden dat deze toegang slaat op de selectieleidraad en eventuele bijlagen. Niet op bestek, dat wordt meegedeeld in de tweede stap van de procedure. Voor meer concrete informatie en enkele uitzonderingsgevallen wordt doorverwezen naar de wetgeving. </w:t>
      </w:r>
    </w:p>
    <w:p w14:paraId="5D956DAA" w14:textId="6B0F9E44" w:rsidR="00B44EF8" w:rsidRPr="000E6DE3" w:rsidRDefault="00B44EF8" w:rsidP="00316C49">
      <w:pPr>
        <w:rPr>
          <w:b/>
          <w:bCs/>
        </w:rPr>
      </w:pPr>
      <w:r w:rsidRPr="000E6DE3">
        <w:rPr>
          <w:b/>
          <w:bCs/>
        </w:rPr>
        <w:t xml:space="preserve">In het algemeen moet de aanbesteder uitgaan van volgende </w:t>
      </w:r>
      <w:r w:rsidR="008C6BE9">
        <w:rPr>
          <w:b/>
          <w:bCs/>
        </w:rPr>
        <w:t>vuist</w:t>
      </w:r>
      <w:r w:rsidRPr="000E6DE3">
        <w:rPr>
          <w:b/>
          <w:bCs/>
        </w:rPr>
        <w:t xml:space="preserve">regel: hoe sneller de voor de potentiële inschrijvers relevante documenten gepubliceerd zijn, hoe beter voor de mededinging en de kwaliteit van de offertes. </w:t>
      </w:r>
    </w:p>
    <w:p w14:paraId="605A7795" w14:textId="4AC551DF" w:rsidR="00B44EF8" w:rsidRDefault="00B44EF8" w:rsidP="00316C49">
      <w:r w:rsidRPr="000E6DE3">
        <w:rPr>
          <w:b/>
          <w:bCs/>
        </w:rPr>
        <w:t>Het is eveneens van belang dat de potentiële inschrijvers zo spoedig mogelijk een zicht krijgen in de diverse timing</w:t>
      </w:r>
      <w:r w:rsidRPr="00B44EF8">
        <w:t xml:space="preserve"> die voorzien worden in het kader van zowel de plaatsingsprocedure als de uitvoering. Bijvoorbeeld: hoelang duurt de evaluatie van de offertes, wanneer kan er een gunningsbeslissing verwacht worden, wanneer dient de opdrachtnemer de start van de uitvoering in te plannen… In de praktijk is het aanbevolen dat de aanbesteder een indicatief tijdschema toevoegt aan de opdrachtdocumenten.</w:t>
      </w:r>
    </w:p>
    <w:p w14:paraId="440F94CE" w14:textId="77777777" w:rsidR="004C43C0" w:rsidRPr="003D5EFD" w:rsidRDefault="004C43C0" w:rsidP="004C43C0">
      <w:pPr>
        <w:pStyle w:val="Kop4"/>
        <w:rPr>
          <w:rFonts w:eastAsia="Lato"/>
          <w:lang w:val="nl-BE"/>
        </w:rPr>
      </w:pPr>
      <w:r w:rsidRPr="003D5EFD">
        <w:rPr>
          <w:rFonts w:eastAsia="Lato"/>
          <w:lang w:val="nl-BE"/>
        </w:rPr>
        <w:t>Vooraankondigingen</w:t>
      </w:r>
    </w:p>
    <w:p w14:paraId="24CC6A8B" w14:textId="77777777" w:rsidR="004C43C0" w:rsidRDefault="004C43C0" w:rsidP="004C43C0">
      <w:pPr>
        <w:rPr>
          <w:rFonts w:eastAsia="Lato" w:cs="Lato"/>
          <w:color w:val="000000" w:themeColor="text1"/>
        </w:rPr>
      </w:pPr>
      <w:r w:rsidRPr="37980BE0">
        <w:rPr>
          <w:rFonts w:eastAsia="Lato" w:cs="Lato"/>
          <w:color w:val="000000" w:themeColor="text1"/>
        </w:rPr>
        <w:t>Een vooraankondiging is mogelijk bij zowel de Belgische als Europese bekendmaking</w:t>
      </w:r>
      <w:r>
        <w:rPr>
          <w:rFonts w:eastAsia="Lato" w:cs="Lato"/>
          <w:color w:val="000000" w:themeColor="text1"/>
        </w:rPr>
        <w:t xml:space="preserve">. </w:t>
      </w:r>
    </w:p>
    <w:p w14:paraId="512029D1" w14:textId="50B2355E" w:rsidR="004C43C0" w:rsidRDefault="004C43C0" w:rsidP="004C43C0">
      <w:pPr>
        <w:rPr>
          <w:rFonts w:eastAsia="Lato" w:cs="Lato"/>
          <w:color w:val="000000" w:themeColor="text1"/>
        </w:rPr>
      </w:pPr>
      <w:r w:rsidRPr="37980BE0">
        <w:rPr>
          <w:rFonts w:eastAsia="Lato" w:cs="Lato"/>
          <w:color w:val="000000" w:themeColor="text1"/>
        </w:rPr>
        <w:t xml:space="preserve">De bekendmaking van een vooraankondiging is slechts verplicht wanneer de aanbestedende overheid de termijn voor de ontvangst van de offertes wil inkorten. </w:t>
      </w:r>
      <w:r w:rsidRPr="006F2C51">
        <w:rPr>
          <w:rFonts w:eastAsia="Lato" w:cs="Lato"/>
          <w:b/>
          <w:bCs/>
          <w:color w:val="000000" w:themeColor="text1"/>
        </w:rPr>
        <w:t>Die inkorting wordt</w:t>
      </w:r>
      <w:r w:rsidRPr="37980BE0">
        <w:rPr>
          <w:rFonts w:eastAsia="Lato" w:cs="Lato"/>
          <w:color w:val="000000" w:themeColor="text1"/>
        </w:rPr>
        <w:t xml:space="preserve"> – tenzij </w:t>
      </w:r>
      <w:r w:rsidRPr="37980BE0">
        <w:rPr>
          <w:rFonts w:eastAsia="Lato" w:cs="Lato"/>
          <w:color w:val="000000" w:themeColor="text1"/>
        </w:rPr>
        <w:lastRenderedPageBreak/>
        <w:t>er</w:t>
      </w:r>
      <w:r w:rsidR="005E34EB">
        <w:rPr>
          <w:rFonts w:eastAsia="Lato" w:cs="Lato"/>
          <w:color w:val="000000" w:themeColor="text1"/>
        </w:rPr>
        <w:t xml:space="preserve"> voldoende</w:t>
      </w:r>
      <w:r w:rsidRPr="37980BE0">
        <w:rPr>
          <w:rFonts w:eastAsia="Lato" w:cs="Lato"/>
          <w:color w:val="000000" w:themeColor="text1"/>
        </w:rPr>
        <w:t xml:space="preserve"> gegronde redenen zijn om de termijn in te korten – echter </w:t>
      </w:r>
      <w:r w:rsidRPr="00D96A1B">
        <w:rPr>
          <w:rFonts w:eastAsia="Lato" w:cs="Lato"/>
          <w:b/>
          <w:bCs/>
          <w:color w:val="000000" w:themeColor="text1"/>
        </w:rPr>
        <w:t>sterk afgeraden</w:t>
      </w:r>
      <w:r w:rsidRPr="37980BE0">
        <w:rPr>
          <w:rFonts w:eastAsia="Lato" w:cs="Lato"/>
          <w:color w:val="000000" w:themeColor="text1"/>
        </w:rPr>
        <w:t xml:space="preserve"> om ondernemers voldoende tijd te geven een offerte voor te bereiden, zeker bij complexere opdrachten</w:t>
      </w:r>
      <w:r>
        <w:rPr>
          <w:rFonts w:eastAsia="Lato" w:cs="Lato"/>
          <w:color w:val="000000" w:themeColor="text1"/>
        </w:rPr>
        <w:t xml:space="preserve">. Een dergelijke inkorting wordt </w:t>
      </w:r>
      <w:r w:rsidRPr="0034073E">
        <w:rPr>
          <w:rFonts w:eastAsia="Lato" w:cs="Lato"/>
          <w:color w:val="000000" w:themeColor="text1"/>
        </w:rPr>
        <w:t>dus</w:t>
      </w:r>
      <w:r>
        <w:rPr>
          <w:rFonts w:eastAsia="Lato" w:cs="Lato"/>
          <w:color w:val="000000" w:themeColor="text1"/>
        </w:rPr>
        <w:t xml:space="preserve"> in het algemeen </w:t>
      </w:r>
      <w:r w:rsidRPr="00D424FE">
        <w:rPr>
          <w:rFonts w:eastAsia="Lato" w:cs="Lato"/>
          <w:b/>
          <w:bCs/>
          <w:color w:val="C00000"/>
        </w:rPr>
        <w:t>als een bad practice beschouwd</w:t>
      </w:r>
      <w:r>
        <w:rPr>
          <w:rFonts w:eastAsia="Lato" w:cs="Lato"/>
          <w:color w:val="000000" w:themeColor="text1"/>
        </w:rPr>
        <w:t>.</w:t>
      </w:r>
    </w:p>
    <w:p w14:paraId="59F1102A" w14:textId="107B0A94" w:rsidR="004C43C0" w:rsidRDefault="004C43C0" w:rsidP="004C43C0">
      <w:pPr>
        <w:rPr>
          <w:rFonts w:eastAsia="Lato" w:cs="Lato"/>
          <w:color w:val="000000" w:themeColor="text1"/>
        </w:rPr>
      </w:pPr>
      <w:r w:rsidRPr="00AE4922">
        <w:rPr>
          <w:rFonts w:eastAsia="Lato" w:cs="Lato"/>
          <w:b/>
          <w:bCs/>
          <w:color w:val="000000" w:themeColor="text1"/>
        </w:rPr>
        <w:t>Vooraankondigingen kunnen ook worden gebruikt om de ondernemingen tijdig te informeren</w:t>
      </w:r>
      <w:r w:rsidRPr="37980BE0">
        <w:rPr>
          <w:rFonts w:eastAsia="Lato" w:cs="Lato"/>
          <w:color w:val="000000" w:themeColor="text1"/>
        </w:rPr>
        <w:t xml:space="preserve"> over voorgenomen </w:t>
      </w:r>
      <w:r>
        <w:rPr>
          <w:rFonts w:eastAsia="Lato" w:cs="Lato"/>
          <w:color w:val="000000" w:themeColor="text1"/>
        </w:rPr>
        <w:t xml:space="preserve">(nog </w:t>
      </w:r>
      <w:r w:rsidRPr="37980BE0">
        <w:rPr>
          <w:rFonts w:eastAsia="Lato" w:cs="Lato"/>
          <w:color w:val="000000" w:themeColor="text1"/>
        </w:rPr>
        <w:t>te lanceren</w:t>
      </w:r>
      <w:r>
        <w:rPr>
          <w:rFonts w:eastAsia="Lato" w:cs="Lato"/>
          <w:color w:val="000000" w:themeColor="text1"/>
        </w:rPr>
        <w:t>)</w:t>
      </w:r>
      <w:r w:rsidRPr="37980BE0">
        <w:rPr>
          <w:rFonts w:eastAsia="Lato" w:cs="Lato"/>
          <w:color w:val="000000" w:themeColor="text1"/>
        </w:rPr>
        <w:t xml:space="preserve"> overheidsopdrachten</w:t>
      </w:r>
      <w:r>
        <w:rPr>
          <w:rFonts w:eastAsia="Lato" w:cs="Lato"/>
          <w:color w:val="000000" w:themeColor="text1"/>
        </w:rPr>
        <w:t xml:space="preserve">, wat dan weer neerkomt op </w:t>
      </w:r>
      <w:r w:rsidRPr="00D424FE">
        <w:rPr>
          <w:rFonts w:eastAsia="Lato" w:cs="Lato"/>
          <w:b/>
          <w:bCs/>
          <w:color w:val="0070C0"/>
        </w:rPr>
        <w:t>een best practice</w:t>
      </w:r>
      <w:r w:rsidRPr="37980BE0">
        <w:rPr>
          <w:rFonts w:eastAsia="Lato" w:cs="Lato"/>
          <w:color w:val="000000" w:themeColor="text1"/>
        </w:rPr>
        <w:t xml:space="preserve">. De bekendmaking van een vooraankondiging zorgt er immers voor dat de ondernemers zich kunnen voorbereiden op de deelname aan de aldus aangekondigde procedures en dat de </w:t>
      </w:r>
      <w:r w:rsidR="00266627">
        <w:rPr>
          <w:rFonts w:eastAsia="Lato" w:cs="Lato"/>
          <w:color w:val="000000" w:themeColor="text1"/>
        </w:rPr>
        <w:t>aanbesteders</w:t>
      </w:r>
      <w:r w:rsidRPr="37980BE0">
        <w:rPr>
          <w:rFonts w:eastAsia="Lato" w:cs="Lato"/>
          <w:color w:val="000000" w:themeColor="text1"/>
        </w:rPr>
        <w:t xml:space="preserve"> voordeel kunnen halen uit een eventuele verruiming van de mededinging. </w:t>
      </w:r>
    </w:p>
    <w:p w14:paraId="100601EA" w14:textId="50C0B1A9" w:rsidR="004C43C0" w:rsidRDefault="004C43C0" w:rsidP="004C43C0">
      <w:pPr>
        <w:rPr>
          <w:rFonts w:eastAsia="Lato" w:cs="Lato"/>
          <w:color w:val="000000" w:themeColor="text1"/>
        </w:rPr>
      </w:pPr>
      <w:r w:rsidRPr="37980BE0">
        <w:rPr>
          <w:rFonts w:eastAsia="Lato" w:cs="Lato"/>
          <w:color w:val="000000" w:themeColor="text1"/>
        </w:rPr>
        <w:t xml:space="preserve">De vooraankondiging omvat de inlichtingen vermeld in bijlage 3 van het </w:t>
      </w:r>
      <w:r w:rsidR="00B24654">
        <w:rPr>
          <w:rFonts w:eastAsia="Lato" w:cs="Lato"/>
          <w:color w:val="000000" w:themeColor="text1"/>
        </w:rPr>
        <w:t>koninklijk besluit</w:t>
      </w:r>
      <w:r w:rsidR="00B24654" w:rsidRPr="37980BE0">
        <w:rPr>
          <w:rFonts w:eastAsia="Lato" w:cs="Lato"/>
          <w:color w:val="000000" w:themeColor="text1"/>
        </w:rPr>
        <w:t xml:space="preserve"> </w:t>
      </w:r>
      <w:r w:rsidR="00B24654">
        <w:rPr>
          <w:rFonts w:eastAsia="Lato" w:cs="Lato"/>
          <w:color w:val="000000" w:themeColor="text1"/>
        </w:rPr>
        <w:t xml:space="preserve">Plaatsing </w:t>
      </w:r>
      <w:r w:rsidRPr="37980BE0">
        <w:rPr>
          <w:rFonts w:eastAsia="Lato" w:cs="Lato"/>
          <w:color w:val="000000" w:themeColor="text1"/>
        </w:rPr>
        <w:t xml:space="preserve">van </w:t>
      </w:r>
      <w:hyperlink r:id="rId64" w:history="1">
        <w:r w:rsidRPr="00CE6059">
          <w:rPr>
            <w:rStyle w:val="Hyperlink"/>
            <w:rFonts w:eastAsia="Lato" w:cs="Lato"/>
          </w:rPr>
          <w:t>18 april 2017</w:t>
        </w:r>
      </w:hyperlink>
      <w:r w:rsidRPr="37980BE0">
        <w:rPr>
          <w:rFonts w:eastAsia="Lato" w:cs="Lato"/>
          <w:color w:val="000000" w:themeColor="text1"/>
        </w:rPr>
        <w:t xml:space="preserve">. </w:t>
      </w:r>
      <w:r w:rsidR="006A7480">
        <w:rPr>
          <w:rFonts w:eastAsia="Lato" w:cs="Lato"/>
          <w:color w:val="000000" w:themeColor="text1"/>
        </w:rPr>
        <w:t>Geef</w:t>
      </w:r>
      <w:r w:rsidR="006A7480" w:rsidRPr="37980BE0">
        <w:rPr>
          <w:rFonts w:eastAsia="Lato" w:cs="Lato"/>
          <w:color w:val="000000" w:themeColor="text1"/>
        </w:rPr>
        <w:t xml:space="preserve"> </w:t>
      </w:r>
      <w:r w:rsidRPr="37980BE0">
        <w:rPr>
          <w:rFonts w:eastAsia="Lato" w:cs="Lato"/>
          <w:color w:val="000000" w:themeColor="text1"/>
        </w:rPr>
        <w:t xml:space="preserve">daarbij </w:t>
      </w:r>
      <w:r w:rsidR="00DC2268">
        <w:rPr>
          <w:rFonts w:eastAsia="Lato" w:cs="Lato"/>
          <w:color w:val="000000" w:themeColor="text1"/>
        </w:rPr>
        <w:t>voldoende aandacht aan</w:t>
      </w:r>
      <w:r w:rsidRPr="37980BE0">
        <w:rPr>
          <w:rFonts w:eastAsia="Lato" w:cs="Lato"/>
          <w:color w:val="000000" w:themeColor="text1"/>
        </w:rPr>
        <w:t xml:space="preserve"> volgende zaken:</w:t>
      </w:r>
    </w:p>
    <w:p w14:paraId="51841BA3" w14:textId="77777777" w:rsidR="004C43C0" w:rsidRPr="003D5EFD" w:rsidRDefault="004C43C0">
      <w:pPr>
        <w:pStyle w:val="Bullet1"/>
        <w:rPr>
          <w:lang w:val="nl-BE"/>
        </w:rPr>
      </w:pPr>
      <w:r w:rsidRPr="003D5EFD">
        <w:rPr>
          <w:lang w:val="nl-BE"/>
        </w:rPr>
        <w:t>een beknopte, inhoudelijke beschrijving (een niet-gedetailleerd, maar duidelijk beeld van de opdracht);</w:t>
      </w:r>
    </w:p>
    <w:p w14:paraId="54252DCE" w14:textId="638FE108" w:rsidR="004C43C0" w:rsidRPr="003D5EFD" w:rsidRDefault="004C43C0">
      <w:pPr>
        <w:pStyle w:val="Bullet1"/>
        <w:rPr>
          <w:lang w:val="nl-BE"/>
        </w:rPr>
      </w:pPr>
      <w:r w:rsidRPr="003D5EFD">
        <w:rPr>
          <w:lang w:val="nl-BE"/>
        </w:rPr>
        <w:t>de voorziene omvang (geraamde waarde) en</w:t>
      </w:r>
      <w:r w:rsidR="0084240C">
        <w:rPr>
          <w:lang w:val="nl-BE"/>
        </w:rPr>
        <w:t xml:space="preserve"> de</w:t>
      </w:r>
      <w:r w:rsidRPr="003D5EFD">
        <w:rPr>
          <w:lang w:val="nl-BE"/>
        </w:rPr>
        <w:t xml:space="preserve"> timing van de opdracht;</w:t>
      </w:r>
    </w:p>
    <w:p w14:paraId="315B1FC3" w14:textId="77777777" w:rsidR="004C43C0" w:rsidRPr="003D5EFD" w:rsidRDefault="004C43C0">
      <w:pPr>
        <w:pStyle w:val="Bullet1"/>
        <w:rPr>
          <w:lang w:val="nl-BE"/>
        </w:rPr>
      </w:pPr>
      <w:r w:rsidRPr="003D5EFD">
        <w:rPr>
          <w:lang w:val="nl-BE"/>
        </w:rPr>
        <w:t>de plaats van uitvoering en;</w:t>
      </w:r>
    </w:p>
    <w:p w14:paraId="0FDE5336" w14:textId="77777777" w:rsidR="004C43C0" w:rsidRPr="003D5EFD" w:rsidRDefault="004C43C0">
      <w:pPr>
        <w:pStyle w:val="Bullet1"/>
        <w:rPr>
          <w:lang w:val="nl-BE"/>
        </w:rPr>
      </w:pPr>
      <w:r w:rsidRPr="003D5EFD">
        <w:rPr>
          <w:lang w:val="nl-BE"/>
        </w:rPr>
        <w:t>of de opdracht verdeeld wordt in percelen.</w:t>
      </w:r>
    </w:p>
    <w:p w14:paraId="5F2AEA26" w14:textId="3172A772" w:rsidR="004C43C0" w:rsidRDefault="004C43C0" w:rsidP="004C43C0">
      <w:pPr>
        <w:rPr>
          <w:rFonts w:eastAsia="Lato" w:cs="Lato"/>
          <w:color w:val="000000" w:themeColor="text1"/>
        </w:rPr>
      </w:pPr>
      <w:r w:rsidRPr="37980BE0">
        <w:rPr>
          <w:rFonts w:eastAsia="Lato" w:cs="Lato"/>
          <w:color w:val="000000" w:themeColor="text1"/>
        </w:rPr>
        <w:t xml:space="preserve">Om redenen van goed beheer is in de regelgeving bepaald dat een vooraankondiging zo spoedig mogelijk moet worden bekendgemaakt bij het begin van het begrotingsjaar (cf. </w:t>
      </w:r>
      <w:r>
        <w:rPr>
          <w:rFonts w:eastAsia="Lato" w:cs="Lato"/>
          <w:color w:val="000000" w:themeColor="text1"/>
        </w:rPr>
        <w:t xml:space="preserve">het </w:t>
      </w:r>
      <w:r w:rsidRPr="37980BE0">
        <w:rPr>
          <w:rFonts w:eastAsia="Lato" w:cs="Lato"/>
          <w:color w:val="000000" w:themeColor="text1"/>
        </w:rPr>
        <w:t>aankoopprogramma indien voorhanden) of, voor werken, nadat de beslissing is genomen tot goedkeuring van het programma waarin de werken of de raamovereenkomsten zijn opgenomen.</w:t>
      </w:r>
    </w:p>
    <w:p w14:paraId="0C65A21A" w14:textId="77777777" w:rsidR="004C43C0" w:rsidRDefault="004C43C0" w:rsidP="004C43C0">
      <w:pPr>
        <w:rPr>
          <w:rFonts w:eastAsia="Lato" w:cs="Lato"/>
          <w:color w:val="000000" w:themeColor="text1"/>
        </w:rPr>
      </w:pPr>
      <w:r w:rsidRPr="37980BE0">
        <w:rPr>
          <w:rFonts w:eastAsia="Lato" w:cs="Lato"/>
          <w:color w:val="000000" w:themeColor="text1"/>
        </w:rPr>
        <w:t xml:space="preserve">Hieronder volgen enkele </w:t>
      </w:r>
      <w:r>
        <w:rPr>
          <w:rFonts w:eastAsia="Lato" w:cs="Lato"/>
          <w:color w:val="000000" w:themeColor="text1"/>
        </w:rPr>
        <w:t>voorbeeld</w:t>
      </w:r>
      <w:r w:rsidRPr="37980BE0">
        <w:rPr>
          <w:rFonts w:eastAsia="Lato" w:cs="Lato"/>
          <w:color w:val="000000" w:themeColor="text1"/>
        </w:rPr>
        <w:t>situaties die een duidelijk beeld schetsen</w:t>
      </w:r>
      <w:r>
        <w:rPr>
          <w:rFonts w:eastAsia="Lato" w:cs="Lato"/>
          <w:color w:val="000000" w:themeColor="text1"/>
        </w:rPr>
        <w:t xml:space="preserve"> over</w:t>
      </w:r>
      <w:r w:rsidRPr="37980BE0">
        <w:rPr>
          <w:rFonts w:eastAsia="Lato" w:cs="Lato"/>
          <w:color w:val="000000" w:themeColor="text1"/>
        </w:rPr>
        <w:t xml:space="preserve"> wanneer een vooraankondiging nuttig kan zijn:</w:t>
      </w:r>
    </w:p>
    <w:p w14:paraId="3208814F" w14:textId="77777777" w:rsidR="004C43C0" w:rsidRPr="003D5EFD" w:rsidRDefault="004C43C0">
      <w:pPr>
        <w:pStyle w:val="Bullet1"/>
        <w:rPr>
          <w:lang w:val="nl-BE"/>
        </w:rPr>
      </w:pPr>
      <w:r w:rsidRPr="003D5EFD">
        <w:rPr>
          <w:lang w:val="nl-BE"/>
        </w:rPr>
        <w:t>diensten: bij een nood aan een nieuw IT-programma voor de opvolging van aankoopdossiers, waarbij een ruwe draft reeds gekend is, maar de details nog uit te werken zijn;</w:t>
      </w:r>
    </w:p>
    <w:p w14:paraId="0B558094" w14:textId="17205C03" w:rsidR="004C43C0" w:rsidRPr="003D5EFD" w:rsidRDefault="004C43C0">
      <w:pPr>
        <w:pStyle w:val="Bullet1"/>
        <w:rPr>
          <w:lang w:val="nl-BE"/>
        </w:rPr>
      </w:pPr>
      <w:r w:rsidRPr="003D5EFD">
        <w:rPr>
          <w:lang w:val="nl-BE"/>
        </w:rPr>
        <w:t xml:space="preserve">leveringen: er moeten nieuwe ergonomische bureaustoelen geleverd worden, maar de hoeveelheden en specificaties moeten nog </w:t>
      </w:r>
      <w:r w:rsidR="0000453C" w:rsidRPr="003D5EFD">
        <w:rPr>
          <w:lang w:val="nl-BE"/>
        </w:rPr>
        <w:t xml:space="preserve">worden </w:t>
      </w:r>
      <w:r w:rsidRPr="003D5EFD">
        <w:rPr>
          <w:lang w:val="nl-BE"/>
        </w:rPr>
        <w:t>bepaald;</w:t>
      </w:r>
    </w:p>
    <w:p w14:paraId="31276F40" w14:textId="2791BFF5" w:rsidR="00E64248" w:rsidRPr="00B87CB6" w:rsidRDefault="004C43C0">
      <w:pPr>
        <w:pStyle w:val="Bullet1"/>
        <w:rPr>
          <w:lang w:val="nl-BE"/>
        </w:rPr>
      </w:pPr>
      <w:r w:rsidRPr="00B87CB6">
        <w:rPr>
          <w:lang w:val="nl-BE"/>
        </w:rPr>
        <w:t>werken: er zal een nieuw detentiehuis gebouwd worden en er is reeds een ruwe beschrijving, maar de specifieke modaliteiten worden nog besproken.</w:t>
      </w:r>
      <w:r w:rsidR="00B87CB6" w:rsidRPr="00B87CB6">
        <w:rPr>
          <w:lang w:val="nl-BE"/>
        </w:rPr>
        <w:t xml:space="preserve"> </w:t>
      </w:r>
    </w:p>
    <w:p w14:paraId="0C6F92E6" w14:textId="77777777" w:rsidR="00775E9C" w:rsidRPr="00AB6AF3" w:rsidRDefault="00775E9C" w:rsidP="00775E9C">
      <w:pPr>
        <w:pStyle w:val="Kop4"/>
        <w:rPr>
          <w:rFonts w:eastAsia="Lato"/>
          <w:lang w:val="nl-BE"/>
        </w:rPr>
      </w:pPr>
      <w:r w:rsidRPr="00AB6AF3">
        <w:rPr>
          <w:rFonts w:eastAsia="Lato"/>
          <w:lang w:val="nl-BE"/>
        </w:rPr>
        <w:t>De “voorafgaande marktconsultatie” of “Preliminary market consultation” (PMC)</w:t>
      </w:r>
    </w:p>
    <w:p w14:paraId="2F6337F4" w14:textId="68630A81" w:rsidR="00775E9C" w:rsidRPr="00826708" w:rsidRDefault="00775E9C" w:rsidP="00775E9C">
      <w:pPr>
        <w:rPr>
          <w:rFonts w:eastAsia="Lato" w:cs="Lato"/>
          <w:b/>
          <w:bCs/>
          <w:color w:val="000000" w:themeColor="text1"/>
        </w:rPr>
      </w:pPr>
      <w:r w:rsidRPr="537A48B8">
        <w:rPr>
          <w:rFonts w:eastAsia="Lato" w:cs="Lato"/>
          <w:color w:val="000000" w:themeColor="text1"/>
        </w:rPr>
        <w:t>Ter verduidelijking: het betreft hier het vroegere</w:t>
      </w:r>
      <w:r w:rsidRPr="537A48B8">
        <w:rPr>
          <w:rFonts w:eastAsia="Lato" w:cs="Lato"/>
          <w:b/>
          <w:bCs/>
          <w:color w:val="000000" w:themeColor="text1"/>
        </w:rPr>
        <w:t xml:space="preserve"> </w:t>
      </w:r>
      <w:r w:rsidRPr="537A48B8">
        <w:rPr>
          <w:rFonts w:eastAsia="Lato" w:cs="Lato"/>
          <w:color w:val="000000" w:themeColor="text1"/>
        </w:rPr>
        <w:t>“</w:t>
      </w:r>
      <w:r w:rsidRPr="537A48B8">
        <w:rPr>
          <w:rFonts w:eastAsia="Lato" w:cs="Lato"/>
          <w:i/>
          <w:iCs/>
          <w:color w:val="000000" w:themeColor="text1"/>
        </w:rPr>
        <w:t>Request for Information</w:t>
      </w:r>
      <w:r w:rsidRPr="537A48B8">
        <w:rPr>
          <w:rFonts w:eastAsia="Lato" w:cs="Lato"/>
          <w:color w:val="000000" w:themeColor="text1"/>
        </w:rPr>
        <w:t xml:space="preserve">” (RFI), ook gekend als het Belgische </w:t>
      </w:r>
      <w:r w:rsidR="009316BA">
        <w:rPr>
          <w:rFonts w:eastAsia="Lato" w:cs="Lato"/>
          <w:color w:val="000000" w:themeColor="text1"/>
        </w:rPr>
        <w:t>BE-E1</w:t>
      </w:r>
      <w:r w:rsidR="00D374ED">
        <w:rPr>
          <w:rFonts w:eastAsia="Lato" w:cs="Lato"/>
          <w:color w:val="000000" w:themeColor="text1"/>
        </w:rPr>
        <w:t xml:space="preserve"> (vroeger F</w:t>
      </w:r>
      <w:r w:rsidR="00146CF1">
        <w:rPr>
          <w:rFonts w:eastAsia="Lato" w:cs="Lato"/>
          <w:color w:val="000000" w:themeColor="text1"/>
        </w:rPr>
        <w:t>-52)</w:t>
      </w:r>
      <w:r w:rsidRPr="537A48B8">
        <w:rPr>
          <w:rFonts w:eastAsia="Lato" w:cs="Lato"/>
          <w:color w:val="000000" w:themeColor="text1"/>
        </w:rPr>
        <w:t xml:space="preserve"> publicatieformulier getiteld “Aankondiging van marktonderzoek”. </w:t>
      </w:r>
    </w:p>
    <w:p w14:paraId="0C66608A" w14:textId="2E11B858" w:rsidR="00775E9C" w:rsidRDefault="00775E9C" w:rsidP="00775E9C">
      <w:pPr>
        <w:rPr>
          <w:rFonts w:eastAsia="Lato" w:cs="Lato"/>
          <w:color w:val="000000" w:themeColor="text1"/>
        </w:rPr>
      </w:pPr>
      <w:r>
        <w:rPr>
          <w:rFonts w:eastAsia="Lato" w:cs="Lato"/>
          <w:color w:val="000000" w:themeColor="text1"/>
        </w:rPr>
        <w:t>De PMC</w:t>
      </w:r>
      <w:r w:rsidRPr="6DAEE100">
        <w:rPr>
          <w:rFonts w:eastAsia="Lato" w:cs="Lato"/>
          <w:color w:val="000000" w:themeColor="text1"/>
        </w:rPr>
        <w:t xml:space="preserve"> stelt </w:t>
      </w:r>
      <w:r>
        <w:rPr>
          <w:rFonts w:eastAsia="Lato" w:cs="Lato"/>
          <w:color w:val="000000" w:themeColor="text1"/>
        </w:rPr>
        <w:t>aanbesteders</w:t>
      </w:r>
      <w:r w:rsidRPr="6DAEE100">
        <w:rPr>
          <w:rFonts w:eastAsia="Lato" w:cs="Lato"/>
          <w:color w:val="000000" w:themeColor="text1"/>
        </w:rPr>
        <w:t xml:space="preserve"> in staat om een marktconsultatieformulier te publiceren. Het is noodzakelijk dat de voorbereiding van het bestek </w:t>
      </w:r>
      <w:r>
        <w:rPr>
          <w:rFonts w:eastAsia="Lato" w:cs="Lato"/>
          <w:color w:val="000000" w:themeColor="text1"/>
        </w:rPr>
        <w:t>zich niet meer in een beginstadium bevindt</w:t>
      </w:r>
      <w:r w:rsidRPr="6DAEE100">
        <w:rPr>
          <w:rFonts w:eastAsia="Lato" w:cs="Lato"/>
          <w:color w:val="000000" w:themeColor="text1"/>
        </w:rPr>
        <w:t xml:space="preserve">; zo moeten in de </w:t>
      </w:r>
      <w:r>
        <w:rPr>
          <w:rFonts w:eastAsia="Lato" w:cs="Lato"/>
          <w:color w:val="000000" w:themeColor="text1"/>
        </w:rPr>
        <w:t>PMC</w:t>
      </w:r>
      <w:r w:rsidRPr="6DAEE100">
        <w:rPr>
          <w:rFonts w:eastAsia="Lato" w:cs="Lato"/>
          <w:color w:val="000000" w:themeColor="text1"/>
        </w:rPr>
        <w:t xml:space="preserve"> al heel wat inlichtingen ingevuld worden, zoals</w:t>
      </w:r>
      <w:r w:rsidR="00FC35E5">
        <w:rPr>
          <w:rFonts w:eastAsia="Lato" w:cs="Lato"/>
          <w:color w:val="000000" w:themeColor="text1"/>
        </w:rPr>
        <w:t xml:space="preserve"> de beschrijving</w:t>
      </w:r>
      <w:r w:rsidR="001D7A3D">
        <w:rPr>
          <w:rFonts w:eastAsia="Lato" w:cs="Lato"/>
          <w:color w:val="000000" w:themeColor="text1"/>
        </w:rPr>
        <w:t xml:space="preserve"> van het ontwerp van de opdracht</w:t>
      </w:r>
      <w:r w:rsidR="00871C3A">
        <w:rPr>
          <w:rFonts w:eastAsia="Lato" w:cs="Lato"/>
          <w:color w:val="000000" w:themeColor="text1"/>
        </w:rPr>
        <w:t>, een beschrijving van</w:t>
      </w:r>
      <w:r w:rsidRPr="6DAEE100">
        <w:rPr>
          <w:rFonts w:eastAsia="Lato" w:cs="Lato"/>
          <w:color w:val="000000" w:themeColor="text1"/>
        </w:rPr>
        <w:t xml:space="preserve"> de gekozen procedure, enzovoort. Voorafgaand aan de </w:t>
      </w:r>
      <w:r>
        <w:rPr>
          <w:rFonts w:eastAsia="Lato" w:cs="Lato"/>
          <w:color w:val="000000" w:themeColor="text1"/>
        </w:rPr>
        <w:t>PMC</w:t>
      </w:r>
      <w:r w:rsidRPr="6DAEE100">
        <w:rPr>
          <w:rFonts w:eastAsia="Lato" w:cs="Lato"/>
          <w:color w:val="000000" w:themeColor="text1"/>
        </w:rPr>
        <w:t xml:space="preserve"> </w:t>
      </w:r>
      <w:r>
        <w:rPr>
          <w:rFonts w:eastAsia="Lato" w:cs="Lato"/>
          <w:color w:val="000000" w:themeColor="text1"/>
        </w:rPr>
        <w:t>kan</w:t>
      </w:r>
      <w:r w:rsidRPr="6DAEE100">
        <w:rPr>
          <w:rFonts w:eastAsia="Lato" w:cs="Lato"/>
          <w:color w:val="000000" w:themeColor="text1"/>
        </w:rPr>
        <w:t xml:space="preserve"> er dus</w:t>
      </w:r>
      <w:r>
        <w:rPr>
          <w:rFonts w:eastAsia="Lato" w:cs="Lato"/>
          <w:color w:val="000000" w:themeColor="text1"/>
        </w:rPr>
        <w:t xml:space="preserve"> eigenlijk</w:t>
      </w:r>
      <w:r w:rsidRPr="6DAEE100">
        <w:rPr>
          <w:rFonts w:eastAsia="Lato" w:cs="Lato"/>
          <w:color w:val="000000" w:themeColor="text1"/>
        </w:rPr>
        <w:t xml:space="preserve"> al</w:t>
      </w:r>
      <w:r>
        <w:rPr>
          <w:rFonts w:eastAsia="Lato" w:cs="Lato"/>
          <w:color w:val="000000" w:themeColor="text1"/>
        </w:rPr>
        <w:t>, indien nodig,</w:t>
      </w:r>
      <w:r w:rsidRPr="6DAEE100">
        <w:rPr>
          <w:rFonts w:eastAsia="Lato" w:cs="Lato"/>
          <w:color w:val="000000" w:themeColor="text1"/>
        </w:rPr>
        <w:t xml:space="preserve"> een </w:t>
      </w:r>
      <w:r>
        <w:rPr>
          <w:rFonts w:eastAsia="Lato" w:cs="Lato"/>
          <w:color w:val="000000" w:themeColor="text1"/>
        </w:rPr>
        <w:t xml:space="preserve">eerste vorm van </w:t>
      </w:r>
      <w:r w:rsidRPr="6DAEE100">
        <w:rPr>
          <w:rFonts w:eastAsia="Lato" w:cs="Lato"/>
          <w:color w:val="000000" w:themeColor="text1"/>
        </w:rPr>
        <w:t xml:space="preserve">marktconsultatie geweest zijn. In de </w:t>
      </w:r>
      <w:r>
        <w:rPr>
          <w:rFonts w:eastAsia="Lato" w:cs="Lato"/>
          <w:color w:val="000000" w:themeColor="text1"/>
        </w:rPr>
        <w:t>PMC</w:t>
      </w:r>
      <w:r w:rsidRPr="6DAEE100">
        <w:rPr>
          <w:rFonts w:eastAsia="Lato" w:cs="Lato"/>
          <w:color w:val="000000" w:themeColor="text1"/>
        </w:rPr>
        <w:t xml:space="preserve"> worden onder andere volgende elementen opgenomen:</w:t>
      </w:r>
    </w:p>
    <w:p w14:paraId="4E9239E4" w14:textId="77777777" w:rsidR="00775E9C" w:rsidRPr="00004196" w:rsidRDefault="00775E9C" w:rsidP="00775E9C">
      <w:pPr>
        <w:pStyle w:val="Bullet1"/>
        <w:rPr>
          <w:lang w:val="nl-BE"/>
        </w:rPr>
      </w:pPr>
      <w:r w:rsidRPr="00004196">
        <w:rPr>
          <w:lang w:val="nl-BE"/>
        </w:rPr>
        <w:t>voorwaarden van de oproep (juridisch kader, verloop, inhoud…)</w:t>
      </w:r>
      <w:r>
        <w:rPr>
          <w:lang w:val="nl-BE"/>
        </w:rPr>
        <w:t>;</w:t>
      </w:r>
    </w:p>
    <w:p w14:paraId="5AC3BCAA" w14:textId="77777777" w:rsidR="00775E9C" w:rsidRPr="00004196" w:rsidRDefault="00775E9C" w:rsidP="00775E9C">
      <w:pPr>
        <w:pStyle w:val="Bullet1"/>
        <w:rPr>
          <w:lang w:val="nl-BE"/>
        </w:rPr>
      </w:pPr>
      <w:r w:rsidRPr="00004196">
        <w:rPr>
          <w:lang w:val="nl-BE"/>
        </w:rPr>
        <w:t>omschrijving van het voorwerp van de marktconsultatie</w:t>
      </w:r>
      <w:r>
        <w:rPr>
          <w:lang w:val="nl-BE"/>
        </w:rPr>
        <w:t>;</w:t>
      </w:r>
    </w:p>
    <w:p w14:paraId="2229A19F" w14:textId="77777777" w:rsidR="00775E9C" w:rsidRPr="00004196" w:rsidRDefault="00775E9C" w:rsidP="00775E9C">
      <w:pPr>
        <w:pStyle w:val="Bullet1"/>
        <w:rPr>
          <w:lang w:val="nl-BE"/>
        </w:rPr>
      </w:pPr>
      <w:r w:rsidRPr="00004196">
        <w:rPr>
          <w:lang w:val="nl-BE"/>
        </w:rPr>
        <w:t>doelstellingen</w:t>
      </w:r>
      <w:r>
        <w:rPr>
          <w:lang w:val="nl-BE"/>
        </w:rPr>
        <w:t>;</w:t>
      </w:r>
    </w:p>
    <w:p w14:paraId="322A1EC3" w14:textId="77777777" w:rsidR="00775E9C" w:rsidRPr="00004196" w:rsidRDefault="00775E9C" w:rsidP="00775E9C">
      <w:pPr>
        <w:pStyle w:val="Bullet1"/>
        <w:rPr>
          <w:lang w:val="nl-BE"/>
        </w:rPr>
      </w:pPr>
      <w:r w:rsidRPr="00004196">
        <w:rPr>
          <w:lang w:val="nl-BE"/>
        </w:rPr>
        <w:t>te stellen vragen tijdens de consultatie</w:t>
      </w:r>
      <w:r>
        <w:rPr>
          <w:lang w:val="nl-BE"/>
        </w:rPr>
        <w:t>;</w:t>
      </w:r>
    </w:p>
    <w:p w14:paraId="15D45711" w14:textId="77777777" w:rsidR="00775E9C" w:rsidRDefault="00775E9C" w:rsidP="00775E9C">
      <w:pPr>
        <w:pStyle w:val="Bullet1"/>
      </w:pPr>
      <w:r w:rsidRPr="7B33215A">
        <w:t>...</w:t>
      </w:r>
    </w:p>
    <w:p w14:paraId="0E1CE093" w14:textId="77777777" w:rsidR="00775E9C" w:rsidRDefault="00775E9C" w:rsidP="00775E9C">
      <w:pPr>
        <w:rPr>
          <w:rFonts w:eastAsia="Lato" w:cs="Lato"/>
          <w:color w:val="000000" w:themeColor="text1"/>
        </w:rPr>
      </w:pPr>
      <w:r w:rsidRPr="37980BE0">
        <w:rPr>
          <w:rFonts w:eastAsia="Lato" w:cs="Lato"/>
          <w:color w:val="000000" w:themeColor="text1"/>
        </w:rPr>
        <w:t xml:space="preserve">Hieruit volgt dat de </w:t>
      </w:r>
      <w:r>
        <w:rPr>
          <w:rFonts w:eastAsia="Lato" w:cs="Lato"/>
          <w:color w:val="000000" w:themeColor="text1"/>
        </w:rPr>
        <w:t>PMC</w:t>
      </w:r>
      <w:r w:rsidRPr="37980BE0">
        <w:rPr>
          <w:rFonts w:eastAsia="Lato" w:cs="Lato"/>
          <w:color w:val="000000" w:themeColor="text1"/>
        </w:rPr>
        <w:t xml:space="preserve"> vooral voor grote</w:t>
      </w:r>
      <w:r>
        <w:rPr>
          <w:rFonts w:eastAsia="Lato" w:cs="Lato"/>
          <w:color w:val="000000" w:themeColor="text1"/>
        </w:rPr>
        <w:t>/</w:t>
      </w:r>
      <w:r w:rsidRPr="37980BE0">
        <w:rPr>
          <w:rFonts w:eastAsia="Lato" w:cs="Lato"/>
          <w:color w:val="000000" w:themeColor="text1"/>
        </w:rPr>
        <w:t>complexe opdrachten een nuttig instrument kan</w:t>
      </w:r>
      <w:r>
        <w:rPr>
          <w:rFonts w:eastAsia="Lato" w:cs="Lato"/>
          <w:color w:val="000000" w:themeColor="text1"/>
        </w:rPr>
        <w:t xml:space="preserve"> zijn</w:t>
      </w:r>
      <w:r w:rsidRPr="37980BE0">
        <w:rPr>
          <w:rFonts w:eastAsia="Lato" w:cs="Lato"/>
          <w:color w:val="000000" w:themeColor="text1"/>
        </w:rPr>
        <w:t xml:space="preserve">. </w:t>
      </w:r>
    </w:p>
    <w:p w14:paraId="04E02021" w14:textId="77777777" w:rsidR="00775E9C" w:rsidRPr="007E23A3" w:rsidRDefault="00775E9C" w:rsidP="00775E9C">
      <w:pPr>
        <w:rPr>
          <w:rFonts w:eastAsia="Lato" w:cs="Lato"/>
          <w:color w:val="000000" w:themeColor="text1"/>
        </w:rPr>
      </w:pPr>
      <w:r w:rsidRPr="37980BE0">
        <w:rPr>
          <w:rFonts w:eastAsia="Lato" w:cs="Lato"/>
          <w:color w:val="000000" w:themeColor="text1"/>
        </w:rPr>
        <w:t>Denk bijvoorbeeld aan rollend materieel zoals treintoestellen die het einde van hun levensduur bereikt hebben en vervangen dienen te worden door een nieuw type. Op basis van een eerdere marktconsultatie heeft de aanbesteder reeds beslist dat de opdracht gelanceerd wordt via de onderhandelingsprocedure en deelnemers gespecialiseerd moeten zijn in trein</w:t>
      </w:r>
      <w:r>
        <w:rPr>
          <w:rFonts w:eastAsia="Lato" w:cs="Lato"/>
          <w:color w:val="000000" w:themeColor="text1"/>
        </w:rPr>
        <w:t>toe</w:t>
      </w:r>
      <w:r w:rsidRPr="37980BE0">
        <w:rPr>
          <w:rFonts w:eastAsia="Lato" w:cs="Lato"/>
          <w:color w:val="000000" w:themeColor="text1"/>
        </w:rPr>
        <w:t xml:space="preserve">stellen van </w:t>
      </w:r>
      <w:r>
        <w:rPr>
          <w:rFonts w:eastAsia="Lato" w:cs="Lato"/>
          <w:color w:val="000000" w:themeColor="text1"/>
        </w:rPr>
        <w:t xml:space="preserve">een bepaald </w:t>
      </w:r>
      <w:r w:rsidRPr="37980BE0">
        <w:rPr>
          <w:rFonts w:eastAsia="Lato" w:cs="Lato"/>
          <w:color w:val="000000" w:themeColor="text1"/>
        </w:rPr>
        <w:t xml:space="preserve">type. Er wordt vervolgens een </w:t>
      </w:r>
      <w:r>
        <w:rPr>
          <w:rFonts w:eastAsia="Lato" w:cs="Lato"/>
          <w:color w:val="000000" w:themeColor="text1"/>
        </w:rPr>
        <w:t>PMC</w:t>
      </w:r>
      <w:r w:rsidRPr="37980BE0">
        <w:rPr>
          <w:rFonts w:eastAsia="Lato" w:cs="Lato"/>
          <w:color w:val="000000" w:themeColor="text1"/>
        </w:rPr>
        <w:t xml:space="preserve"> gelanceerd om meer inzicht te krijgen in de markt van d</w:t>
      </w:r>
      <w:r>
        <w:rPr>
          <w:rFonts w:eastAsia="Lato" w:cs="Lato"/>
          <w:color w:val="000000" w:themeColor="text1"/>
        </w:rPr>
        <w:t>a</w:t>
      </w:r>
      <w:r w:rsidRPr="37980BE0">
        <w:rPr>
          <w:rFonts w:eastAsia="Lato" w:cs="Lato"/>
          <w:color w:val="000000" w:themeColor="text1"/>
        </w:rPr>
        <w:t>t type trein</w:t>
      </w:r>
      <w:r>
        <w:rPr>
          <w:rFonts w:eastAsia="Lato" w:cs="Lato"/>
          <w:color w:val="000000" w:themeColor="text1"/>
        </w:rPr>
        <w:t>toe</w:t>
      </w:r>
      <w:r w:rsidRPr="37980BE0">
        <w:rPr>
          <w:rFonts w:eastAsia="Lato" w:cs="Lato"/>
          <w:color w:val="000000" w:themeColor="text1"/>
        </w:rPr>
        <w:t>stellen. Bedrijven die binnen dit domein actief zijn</w:t>
      </w:r>
      <w:r>
        <w:rPr>
          <w:rFonts w:eastAsia="Lato" w:cs="Lato"/>
          <w:color w:val="000000" w:themeColor="text1"/>
        </w:rPr>
        <w:t>,</w:t>
      </w:r>
      <w:r w:rsidRPr="37980BE0">
        <w:rPr>
          <w:rFonts w:eastAsia="Lato" w:cs="Lato"/>
          <w:color w:val="000000" w:themeColor="text1"/>
        </w:rPr>
        <w:t xml:space="preserve"> kunnen vervolgens een vragenlijst </w:t>
      </w:r>
      <w:r>
        <w:rPr>
          <w:rFonts w:eastAsia="Lato" w:cs="Lato"/>
          <w:color w:val="000000" w:themeColor="text1"/>
        </w:rPr>
        <w:t>beantwoorden</w:t>
      </w:r>
      <w:r w:rsidRPr="37980BE0">
        <w:rPr>
          <w:rFonts w:eastAsia="Lato" w:cs="Lato"/>
          <w:color w:val="000000" w:themeColor="text1"/>
        </w:rPr>
        <w:t xml:space="preserve"> om de aanbesteder te informeren over hun aanbod.</w:t>
      </w:r>
    </w:p>
    <w:p w14:paraId="4A481EB6" w14:textId="77777777" w:rsidR="00252B9A" w:rsidRPr="00CA7A8C" w:rsidRDefault="00252B9A" w:rsidP="00C460F7">
      <w:pPr>
        <w:pStyle w:val="Kop4"/>
        <w:rPr>
          <w:lang w:val="nl-BE"/>
        </w:rPr>
      </w:pPr>
      <w:r w:rsidRPr="00CA7A8C">
        <w:rPr>
          <w:lang w:val="nl-BE"/>
        </w:rPr>
        <w:lastRenderedPageBreak/>
        <w:t>Vrijwillige bekendmaking</w:t>
      </w:r>
    </w:p>
    <w:p w14:paraId="4BCEFD44" w14:textId="6964933F" w:rsidR="00252B9A" w:rsidRPr="00252B9A" w:rsidRDefault="00252B9A" w:rsidP="00252B9A">
      <w:r w:rsidRPr="00CA7A8C">
        <w:t xml:space="preserve">De aanbestedende overheid kan het initiatief nemen om haar opdrachten vrijwillig te publiceren. Dat is vaak het geval bij de onderhandelingsprocedures die niet onderworpen zijn aan enige bekendmakingsvorm (zie ook principe </w:t>
      </w:r>
      <w:r w:rsidR="007A0862" w:rsidRPr="00CA7A8C">
        <w:t>10</w:t>
      </w:r>
      <w:r w:rsidRPr="00CA7A8C">
        <w:t xml:space="preserve"> voor meer</w:t>
      </w:r>
      <w:r w:rsidRPr="00252B9A">
        <w:t xml:space="preserve"> informatie). Indien bijvoorbeeld de voorafgaande marktconsultatie niet tot voldoende inzicht in potentiële inschrijvers heeft geleid, kan de vrijwillige bekendmaking hier een goed alternatief bieden. </w:t>
      </w:r>
    </w:p>
    <w:p w14:paraId="5ED6E8AD" w14:textId="1E1F27F2" w:rsidR="00252B9A" w:rsidRPr="00252B9A" w:rsidRDefault="00252B9A" w:rsidP="00252B9A">
      <w:r w:rsidRPr="00252B9A">
        <w:t xml:space="preserve">Het wordt aangemoedigd en het is eigenlijk aangewezen om een </w:t>
      </w:r>
      <w:r w:rsidR="008E70B4">
        <w:t>vrijwillige</w:t>
      </w:r>
      <w:r w:rsidRPr="00252B9A">
        <w:t xml:space="preserve"> bekendmaking minstens op het Belgische niveau te doen, iets wat in het vernieuwde e-Procurement de standaard is. Kort samengevat is in het vernieuwde e-Procurement afgestapt van de idee dat bepaalde opdrachten niet kunnen worden gepubliceerd in het </w:t>
      </w:r>
      <w:r w:rsidR="000F308A">
        <w:t>BDA</w:t>
      </w:r>
      <w:r w:rsidRPr="00252B9A">
        <w:t>, maar enkel in een aparte omgeving, die de Free Market werd genoemd. Daarom wordt in het vernieuwde e-</w:t>
      </w:r>
      <w:r w:rsidRPr="00CA7A8C">
        <w:t xml:space="preserve">Procurement alles in het </w:t>
      </w:r>
      <w:r w:rsidR="000F308A" w:rsidRPr="00CA7A8C">
        <w:t>BDA</w:t>
      </w:r>
      <w:r w:rsidRPr="00CA7A8C">
        <w:t xml:space="preserve"> gepubliceerd en dus op Belgisch niveau.</w:t>
      </w:r>
      <w:r w:rsidR="00C9354A" w:rsidRPr="00CA7A8C">
        <w:t xml:space="preserve"> Voor meer informatie daarover, zie principe 10.</w:t>
      </w:r>
    </w:p>
    <w:p w14:paraId="75A91FEB" w14:textId="77777777" w:rsidR="00252B9A" w:rsidRPr="00252B9A" w:rsidRDefault="00252B9A" w:rsidP="00252B9A">
      <w:r w:rsidRPr="0030037B">
        <w:rPr>
          <w:b/>
          <w:bCs/>
        </w:rPr>
        <w:t xml:space="preserve">De vrijwillige bekendmaking op Belgisch niveau wordt dan ook beschouwd als </w:t>
      </w:r>
      <w:r w:rsidRPr="00AD3BD8">
        <w:rPr>
          <w:b/>
          <w:bCs/>
          <w:color w:val="0070C0"/>
        </w:rPr>
        <w:t>een best practice</w:t>
      </w:r>
      <w:r w:rsidRPr="00252B9A">
        <w:t xml:space="preserve">.  </w:t>
      </w:r>
    </w:p>
    <w:p w14:paraId="4FC3588F" w14:textId="77777777" w:rsidR="00775E9C" w:rsidRPr="007D4A1E" w:rsidRDefault="00775E9C" w:rsidP="00775E9C">
      <w:pPr>
        <w:pStyle w:val="Kop4"/>
        <w:rPr>
          <w:rFonts w:eastAsia="Lato"/>
          <w:lang w:val="nl-BE"/>
        </w:rPr>
      </w:pPr>
      <w:r w:rsidRPr="007D4A1E">
        <w:rPr>
          <w:rFonts w:eastAsia="Lato"/>
          <w:lang w:val="nl-BE"/>
        </w:rPr>
        <w:t>Informatiesessies</w:t>
      </w:r>
    </w:p>
    <w:p w14:paraId="142942A3" w14:textId="77777777" w:rsidR="00775E9C" w:rsidRPr="007E23A3" w:rsidRDefault="00775E9C" w:rsidP="00775E9C">
      <w:pPr>
        <w:rPr>
          <w:rFonts w:eastAsia="Lato" w:cs="Lato"/>
          <w:color w:val="000000" w:themeColor="text1"/>
        </w:rPr>
      </w:pPr>
      <w:r w:rsidRPr="37980BE0">
        <w:rPr>
          <w:rFonts w:eastAsia="Lato" w:cs="Lato"/>
          <w:color w:val="000000" w:themeColor="text1"/>
        </w:rPr>
        <w:t xml:space="preserve">Naast het gebruik van de vooraankondiging is het organiseren van informatiesessies een interessant instrument om individuele opdrachten toe te lichten </w:t>
      </w:r>
      <w:r>
        <w:rPr>
          <w:rFonts w:eastAsia="Lato" w:cs="Lato"/>
          <w:color w:val="000000" w:themeColor="text1"/>
        </w:rPr>
        <w:t>aan</w:t>
      </w:r>
      <w:r w:rsidRPr="37980BE0">
        <w:rPr>
          <w:rFonts w:eastAsia="Lato" w:cs="Lato"/>
          <w:color w:val="000000" w:themeColor="text1"/>
        </w:rPr>
        <w:t xml:space="preserve"> </w:t>
      </w:r>
      <w:r>
        <w:rPr>
          <w:rFonts w:eastAsia="Lato" w:cs="Lato"/>
          <w:color w:val="000000" w:themeColor="text1"/>
        </w:rPr>
        <w:t xml:space="preserve">geïnteresseerde </w:t>
      </w:r>
      <w:r w:rsidRPr="37980BE0">
        <w:rPr>
          <w:rFonts w:eastAsia="Lato" w:cs="Lato"/>
          <w:color w:val="000000" w:themeColor="text1"/>
        </w:rPr>
        <w:t>ondernemers om hen</w:t>
      </w:r>
      <w:r>
        <w:rPr>
          <w:rFonts w:eastAsia="Lato" w:cs="Lato"/>
          <w:color w:val="000000" w:themeColor="text1"/>
        </w:rPr>
        <w:t xml:space="preserve"> zo beter</w:t>
      </w:r>
      <w:r w:rsidRPr="37980BE0">
        <w:rPr>
          <w:rFonts w:eastAsia="Lato" w:cs="Lato"/>
          <w:color w:val="000000" w:themeColor="text1"/>
        </w:rPr>
        <w:t xml:space="preserve"> in staat te stellen offertes in te dienen die beantwoorden aan de behoeften. </w:t>
      </w:r>
    </w:p>
    <w:p w14:paraId="0DEE3525" w14:textId="77777777" w:rsidR="00775E9C" w:rsidRDefault="00775E9C" w:rsidP="00775E9C">
      <w:pPr>
        <w:rPr>
          <w:rFonts w:eastAsia="Lato" w:cs="Lato"/>
          <w:color w:val="000000" w:themeColor="text1"/>
        </w:rPr>
      </w:pPr>
      <w:r>
        <w:rPr>
          <w:rFonts w:eastAsia="Lato" w:cs="Lato"/>
          <w:color w:val="000000" w:themeColor="text1"/>
        </w:rPr>
        <w:t>Artikel 14 van d</w:t>
      </w:r>
      <w:r w:rsidRPr="37980BE0">
        <w:rPr>
          <w:rFonts w:eastAsia="Lato" w:cs="Lato"/>
          <w:color w:val="000000" w:themeColor="text1"/>
        </w:rPr>
        <w:t>e wet van 17 juni 2016 bepaalt immers dat informatiesessies kunnen worden georganiseerd waarin mondelinge communicatie gebruikt wordt voor het verstrekken van toelichtingen in verband met de opdrachtdocumenten, mits de inhoud van die mondelinge communicatie voldoende gedocumenteerd wordt en er geen informatie wordt verspreid die niet reeds in de opdrachtdocumenten is aangegeven. Die documentatie wordt dan verspreid onder alle belangstellenden.</w:t>
      </w:r>
    </w:p>
    <w:p w14:paraId="66957C89" w14:textId="647E62A5" w:rsidR="00B24B02" w:rsidRDefault="00B24B02" w:rsidP="00775E9C">
      <w:pPr>
        <w:rPr>
          <w:rFonts w:eastAsia="Lato" w:cs="Lato"/>
          <w:color w:val="000000" w:themeColor="text1"/>
        </w:rPr>
      </w:pPr>
      <w:r>
        <w:rPr>
          <w:rFonts w:eastAsia="Lato" w:cs="Lato"/>
          <w:color w:val="000000" w:themeColor="text1"/>
        </w:rPr>
        <w:t xml:space="preserve">Merken we dus op dat </w:t>
      </w:r>
      <w:r w:rsidR="00ED6395">
        <w:rPr>
          <w:rFonts w:eastAsia="Lato" w:cs="Lato"/>
          <w:color w:val="000000" w:themeColor="text1"/>
        </w:rPr>
        <w:t>informatiesessies zich na de publicatie</w:t>
      </w:r>
      <w:r w:rsidR="00866DF7">
        <w:rPr>
          <w:rFonts w:eastAsia="Lato" w:cs="Lato"/>
          <w:color w:val="000000" w:themeColor="text1"/>
        </w:rPr>
        <w:t xml:space="preserve"> van de opdrachtdocumenten</w:t>
      </w:r>
      <w:r w:rsidR="00ED6395">
        <w:rPr>
          <w:rFonts w:eastAsia="Lato" w:cs="Lato"/>
          <w:color w:val="000000" w:themeColor="text1"/>
        </w:rPr>
        <w:t xml:space="preserve"> afspelen</w:t>
      </w:r>
      <w:r w:rsidR="00DF527A">
        <w:rPr>
          <w:rFonts w:eastAsia="Lato" w:cs="Lato"/>
          <w:color w:val="000000" w:themeColor="text1"/>
        </w:rPr>
        <w:t xml:space="preserve">, </w:t>
      </w:r>
      <w:r w:rsidR="007D3F0B">
        <w:rPr>
          <w:rFonts w:eastAsia="Lato" w:cs="Lato"/>
          <w:color w:val="000000" w:themeColor="text1"/>
        </w:rPr>
        <w:t xml:space="preserve">meer bepaald </w:t>
      </w:r>
      <w:r w:rsidR="00DF527A">
        <w:rPr>
          <w:rFonts w:eastAsia="Lato" w:cs="Lato"/>
          <w:color w:val="000000" w:themeColor="text1"/>
        </w:rPr>
        <w:t>in het kader van opstellen van offertes</w:t>
      </w:r>
      <w:r w:rsidR="00ED6395">
        <w:rPr>
          <w:rFonts w:eastAsia="Lato" w:cs="Lato"/>
          <w:color w:val="000000" w:themeColor="text1"/>
        </w:rPr>
        <w:t xml:space="preserve">, terwijl voorafgaande marktconsultaties </w:t>
      </w:r>
      <w:r w:rsidR="00B23EA0">
        <w:rPr>
          <w:rFonts w:eastAsia="Lato" w:cs="Lato"/>
          <w:color w:val="000000" w:themeColor="text1"/>
        </w:rPr>
        <w:t xml:space="preserve">echt </w:t>
      </w:r>
      <w:r w:rsidR="00880EF6">
        <w:rPr>
          <w:rFonts w:eastAsia="Lato" w:cs="Lato"/>
          <w:color w:val="000000" w:themeColor="text1"/>
        </w:rPr>
        <w:t xml:space="preserve">voorafgaand plaatsvinden. </w:t>
      </w:r>
    </w:p>
    <w:p w14:paraId="06797C53" w14:textId="77777777" w:rsidR="00775E9C" w:rsidRDefault="00775E9C" w:rsidP="00775E9C">
      <w:pPr>
        <w:rPr>
          <w:rFonts w:eastAsia="Lato" w:cs="Lato"/>
          <w:color w:val="000000" w:themeColor="text1"/>
        </w:rPr>
      </w:pPr>
      <w:r w:rsidRPr="37980BE0">
        <w:rPr>
          <w:rFonts w:eastAsia="Lato" w:cs="Lato"/>
          <w:color w:val="000000" w:themeColor="text1"/>
        </w:rPr>
        <w:t xml:space="preserve">Het verslag van de informatiesessie is geen opdrachtdocument </w:t>
      </w:r>
      <w:r w:rsidRPr="37980BE0">
        <w:rPr>
          <w:rFonts w:eastAsia="Lato" w:cs="Lato"/>
          <w:i/>
          <w:iCs/>
          <w:color w:val="000000" w:themeColor="text1"/>
        </w:rPr>
        <w:t>an sich</w:t>
      </w:r>
      <w:r w:rsidRPr="37980BE0">
        <w:rPr>
          <w:rFonts w:eastAsia="Lato" w:cs="Lato"/>
          <w:color w:val="000000" w:themeColor="text1"/>
        </w:rPr>
        <w:t xml:space="preserve"> en kan de opdrachtdocumenten ook niet wijzigen. Wel is er het risico op interpretatieproblemen</w:t>
      </w:r>
      <w:r>
        <w:rPr>
          <w:rFonts w:eastAsia="Lato" w:cs="Lato"/>
          <w:color w:val="000000" w:themeColor="text1"/>
        </w:rPr>
        <w:t xml:space="preserve">, </w:t>
      </w:r>
      <w:r w:rsidRPr="37980BE0">
        <w:rPr>
          <w:rFonts w:eastAsia="Lato" w:cs="Lato"/>
          <w:color w:val="000000" w:themeColor="text1"/>
        </w:rPr>
        <w:t xml:space="preserve"> tegenspraak of aanvullende informatie. Mocht dat het geval zijn, dan is een rectificatiebericht noodzakelijk. Ook is het mogelijk om reeds in de bekendmaking te vermelden dat het schriftelijk verslag</w:t>
      </w:r>
      <w:r>
        <w:rPr>
          <w:rFonts w:eastAsia="Lato" w:cs="Lato"/>
          <w:color w:val="000000" w:themeColor="text1"/>
        </w:rPr>
        <w:t xml:space="preserve"> van de informatiesessie</w:t>
      </w:r>
      <w:r w:rsidRPr="37980BE0">
        <w:rPr>
          <w:rFonts w:eastAsia="Lato" w:cs="Lato"/>
          <w:color w:val="000000" w:themeColor="text1"/>
        </w:rPr>
        <w:t xml:space="preserve"> de kwalificatie van een opdrachtdocument zal krijgen.</w:t>
      </w:r>
    </w:p>
    <w:p w14:paraId="7DA3323F" w14:textId="77777777" w:rsidR="00775E9C" w:rsidRDefault="00775E9C" w:rsidP="00775E9C">
      <w:pPr>
        <w:rPr>
          <w:rFonts w:eastAsia="Lato" w:cs="Lato"/>
          <w:color w:val="000000" w:themeColor="text1"/>
        </w:rPr>
      </w:pPr>
      <w:r w:rsidRPr="00DE1DDA">
        <w:rPr>
          <w:rFonts w:eastAsia="Lato" w:cs="Lato"/>
          <w:b/>
          <w:bCs/>
          <w:color w:val="000000" w:themeColor="text1"/>
        </w:rPr>
        <w:t>Informatiesessies kunnen een serieuze toegevoegde waarde bieden</w:t>
      </w:r>
      <w:r w:rsidRPr="4B53714A">
        <w:rPr>
          <w:rFonts w:eastAsia="Lato" w:cs="Lato"/>
          <w:color w:val="000000" w:themeColor="text1"/>
        </w:rPr>
        <w:t xml:space="preserve">, zeker in het kader van belangrijke en/of complexe opdrachten en overheidsopdrachten van werken in het algemeen. </w:t>
      </w:r>
    </w:p>
    <w:p w14:paraId="78CBA0A1" w14:textId="001AEDB8" w:rsidR="00775E9C" w:rsidRPr="00B541A9" w:rsidRDefault="00775E9C" w:rsidP="00775E9C">
      <w:pPr>
        <w:rPr>
          <w:rFonts w:eastAsia="Lato" w:cs="Lato"/>
        </w:rPr>
      </w:pPr>
      <w:r w:rsidRPr="004635B5">
        <w:rPr>
          <w:rFonts w:eastAsia="Lato" w:cs="Lato"/>
          <w:b/>
          <w:bCs/>
          <w:color w:val="0070C0"/>
        </w:rPr>
        <w:t>Het bestaan van een risico</w:t>
      </w:r>
      <w:r w:rsidRPr="004635B5">
        <w:rPr>
          <w:rFonts w:eastAsia="Lato" w:cs="Lato"/>
          <w:color w:val="0070C0"/>
        </w:rPr>
        <w:t xml:space="preserve"> </w:t>
      </w:r>
      <w:r w:rsidRPr="00B541A9">
        <w:rPr>
          <w:rFonts w:eastAsia="Lato" w:cs="Lato"/>
        </w:rPr>
        <w:t xml:space="preserve">op de verstoring van de mededinging </w:t>
      </w:r>
      <w:r w:rsidR="00B541A9" w:rsidRPr="00B541A9">
        <w:rPr>
          <w:rFonts w:eastAsia="Lato" w:cs="Lato"/>
        </w:rPr>
        <w:t xml:space="preserve">door </w:t>
      </w:r>
      <w:r w:rsidRPr="00B541A9">
        <w:rPr>
          <w:rFonts w:eastAsia="Lato" w:cs="Lato"/>
        </w:rPr>
        <w:t>het onzorgvuldig omgaan met informatiesessies</w:t>
      </w:r>
      <w:r w:rsidR="00B541A9" w:rsidRPr="00B541A9">
        <w:rPr>
          <w:rFonts w:eastAsia="Lato" w:cs="Lato"/>
        </w:rPr>
        <w:t xml:space="preserve"> </w:t>
      </w:r>
      <w:r w:rsidR="00B541A9" w:rsidRPr="004635B5">
        <w:rPr>
          <w:rFonts w:eastAsia="Lato" w:cs="Lato"/>
          <w:b/>
          <w:bCs/>
          <w:color w:val="0070C0"/>
        </w:rPr>
        <w:t xml:space="preserve">moet met andere woorden fel genuanceerd worden. </w:t>
      </w:r>
      <w:r w:rsidRPr="004635B5">
        <w:rPr>
          <w:rFonts w:eastAsia="Lato" w:cs="Lato"/>
          <w:b/>
          <w:bCs/>
          <w:color w:val="0070C0"/>
        </w:rPr>
        <w:t>De voordelen wegen ruimschoots op tegen de potentiële nadelen, nadelen die ook nog eens vermijdbaar en behandelbaar zijn</w:t>
      </w:r>
      <w:r w:rsidRPr="00497E94">
        <w:rPr>
          <w:rFonts w:eastAsia="Lato" w:cs="Lato"/>
          <w:b/>
          <w:bCs/>
          <w:color w:val="0070C0"/>
        </w:rPr>
        <w:t>.</w:t>
      </w:r>
      <w:r w:rsidR="00B541A9" w:rsidRPr="00B541A9">
        <w:rPr>
          <w:rFonts w:eastAsia="Lato" w:cs="Lato"/>
        </w:rPr>
        <w:t xml:space="preserve"> Er is dus geen reden om bij voorbaat te beslissen om  geen gebruik van te maken van informatiesessies. </w:t>
      </w:r>
    </w:p>
    <w:p w14:paraId="36DE4988" w14:textId="6F105CE8" w:rsidR="00775E9C" w:rsidRPr="00CA7A8C" w:rsidRDefault="00775E9C" w:rsidP="00775E9C">
      <w:r>
        <w:t xml:space="preserve">Zoals reeds aangehaald zal e-Procurement op termijn de mogelijkheid bieden om digitale informatiesessies te organiseren en bestaat vandaag reeds de optie om gebruik te maken van digitale fora. </w:t>
      </w:r>
      <w:r w:rsidR="00702675">
        <w:t xml:space="preserve">Het is daarbij van belang dat de gestelde vragen duidelijk, correct en zo snel mogelijk beantwoord worden. </w:t>
      </w:r>
      <w:r>
        <w:t xml:space="preserve">Voor meer informatie over de voordelen </w:t>
      </w:r>
      <w:r w:rsidRPr="00CA7A8C">
        <w:t>van beide instrumenten, zie principe 1. Het gebruik ervan is in het licht van hetgeen hierboven geschetst werd dan ook sterk aanbevolen wanneer mogelijk en nuttig.</w:t>
      </w:r>
      <w:r w:rsidR="00795FA9">
        <w:t xml:space="preserve"> </w:t>
      </w:r>
    </w:p>
    <w:p w14:paraId="08B7C8CA" w14:textId="77777777" w:rsidR="00775E9C" w:rsidRPr="00CA7A8C" w:rsidRDefault="00775E9C" w:rsidP="00775E9C">
      <w:r w:rsidRPr="00CA7A8C">
        <w:t xml:space="preserve">Bovendien bestaan er vandaag al tal van elektronische toepassingen die het mogelijk maken om op eenvoudige, toegankelijke wijze digitale informatiesessies te organiseren, inclusief de optie om die integraal op te nemen en verder te verspreiden via bijvoorbeeld de website van de organisatie. Een link naar die sessie of opname kan ook via e-Procurement verspreid worden. Dergelijke digitale informatiesessies besparen de inschrijvers zowel tijd als verplaatsingskosten. </w:t>
      </w:r>
    </w:p>
    <w:p w14:paraId="1C8DFD5E" w14:textId="77777777" w:rsidR="006E3840" w:rsidRDefault="00775E9C" w:rsidP="00775E9C">
      <w:r w:rsidRPr="00CA7A8C">
        <w:t xml:space="preserve">Tegelijk mag de toegevoegde waarde van fysieke bezoeken ter plaatse niet uit het oog worden verloren voor een aantal overheidsopdrachten, bijvoorbeeld bij overheidsopdrachten voor </w:t>
      </w:r>
      <w:r w:rsidRPr="00CA7A8C">
        <w:lastRenderedPageBreak/>
        <w:t>werken. Daarbij is het aangewezen om meer dan één datum te voorzien voor het bezoek opdat zoveel als mogelijk geïnteresseerde partijen kunnen deelnemen.</w:t>
      </w:r>
    </w:p>
    <w:p w14:paraId="366CFB3A" w14:textId="21276CEB" w:rsidR="008751DC" w:rsidRDefault="006E3840" w:rsidP="00775E9C">
      <w:r>
        <w:t xml:space="preserve">Tot slot, mocht er in het kader van het forum of informatiesessies of gewoon in het algemeen blijken dat er </w:t>
      </w:r>
      <w:r w:rsidR="00AA4B2C">
        <w:t xml:space="preserve">bij de aanbesteder </w:t>
      </w:r>
      <w:r>
        <w:t xml:space="preserve">veel vragen binnen komen </w:t>
      </w:r>
      <w:r w:rsidRPr="00B14C98">
        <w:rPr>
          <w:i/>
          <w:iCs/>
        </w:rPr>
        <w:t>over de opdrachtdocumenten</w:t>
      </w:r>
      <w:r w:rsidR="005E2B8B">
        <w:t>, dus</w:t>
      </w:r>
      <w:r w:rsidR="00957A74">
        <w:t xml:space="preserve"> tijdens de fase van</w:t>
      </w:r>
      <w:r w:rsidR="005E2B8B">
        <w:t xml:space="preserve"> het opstellen van de offerte</w:t>
      </w:r>
      <w:r w:rsidR="00044DC3">
        <w:t xml:space="preserve">, dan is het aangewezen </w:t>
      </w:r>
      <w:r w:rsidR="00EB24F9">
        <w:t xml:space="preserve">om te werken met een rechtzettingsbericht dan “gewoon” alle vragen te beantwoorden. </w:t>
      </w:r>
    </w:p>
    <w:p w14:paraId="2C066D45" w14:textId="77777777" w:rsidR="003E564C" w:rsidRDefault="008751DC" w:rsidP="00775E9C">
      <w:r>
        <w:t>Het publiceren van een officieel rechtzettingsbericht</w:t>
      </w:r>
      <w:r w:rsidR="00E1331C">
        <w:t xml:space="preserve"> biedt immers meer garanties op het vlak van gelijke behandeling</w:t>
      </w:r>
      <w:r w:rsidR="00E857B7">
        <w:t xml:space="preserve">, mededinging en </w:t>
      </w:r>
      <w:r w:rsidR="00AE756D">
        <w:t>rechtszekerheid. Ook is het gewoon gemakkelijk</w:t>
      </w:r>
      <w:r w:rsidR="00D65041">
        <w:t>er</w:t>
      </w:r>
      <w:r w:rsidR="00AE756D">
        <w:t xml:space="preserve"> voor de inschrijvers </w:t>
      </w:r>
      <w:r w:rsidR="00582322">
        <w:t>om een “verbeterde versie” te krijgen</w:t>
      </w:r>
      <w:r w:rsidR="00D65041">
        <w:t>.</w:t>
      </w:r>
    </w:p>
    <w:p w14:paraId="0D9EB3D2" w14:textId="17B823D3" w:rsidR="00775E9C" w:rsidRPr="00CA7A8C" w:rsidRDefault="003E564C" w:rsidP="00775E9C">
      <w:r>
        <w:t xml:space="preserve">Hou hierbij rekening met de bepalingen van artikel 9 van het KB Plaatsing van </w:t>
      </w:r>
      <w:hyperlink r:id="rId65" w:anchor="LNK0009" w:history="1">
        <w:r w:rsidRPr="00B65399">
          <w:rPr>
            <w:rStyle w:val="Hyperlink"/>
          </w:rPr>
          <w:t>18 april 2017</w:t>
        </w:r>
      </w:hyperlink>
      <w:r w:rsidR="00B163EA">
        <w:t xml:space="preserve">, meer bepaald ook over </w:t>
      </w:r>
      <w:r w:rsidR="004F29D9">
        <w:t xml:space="preserve">het verdagen van </w:t>
      </w:r>
      <w:r w:rsidR="004F29D9" w:rsidRPr="004F29D9">
        <w:t>de uiterste datum van ontvangst van de aanvragen tot deelneming of de offertes</w:t>
      </w:r>
      <w:r w:rsidR="004F29D9">
        <w:t xml:space="preserve">. </w:t>
      </w:r>
      <w:r w:rsidR="00EC6513">
        <w:t>Wees er u ook bewust van dat het in het desbetreffende artikel over minima gaat</w:t>
      </w:r>
      <w:r w:rsidR="005F3EF2">
        <w:t xml:space="preserve">. Denk met andere woorden aan de potentiële inschrijvers en voorzie waar nodig langere termijnen in functie van de complexiteit van de opdracht. </w:t>
      </w:r>
    </w:p>
    <w:p w14:paraId="7C7370DC" w14:textId="6A15D11C" w:rsidR="009603FA" w:rsidRDefault="00AC09DD">
      <w:pPr>
        <w:pStyle w:val="Kop3"/>
      </w:pPr>
      <w:bookmarkStart w:id="40" w:name="_Toc135839941"/>
      <w:bookmarkStart w:id="41" w:name="_Toc150870546"/>
      <w:r>
        <w:t>Termijnen</w:t>
      </w:r>
      <w:r w:rsidR="0060663C">
        <w:t>,</w:t>
      </w:r>
      <w:r w:rsidR="006366E8">
        <w:t xml:space="preserve"> </w:t>
      </w:r>
      <w:r>
        <w:t>visitekaartjes</w:t>
      </w:r>
      <w:bookmarkEnd w:id="40"/>
      <w:r w:rsidR="0060663C">
        <w:t xml:space="preserve"> en zoekprofielen</w:t>
      </w:r>
      <w:bookmarkEnd w:id="41"/>
    </w:p>
    <w:p w14:paraId="2EB63567" w14:textId="77777777" w:rsidR="00A67DBD" w:rsidRPr="00584F61" w:rsidRDefault="00A67DBD" w:rsidP="00584F61">
      <w:pPr>
        <w:pStyle w:val="Kop4"/>
        <w:jc w:val="both"/>
        <w:rPr>
          <w:rFonts w:eastAsia="Lato"/>
          <w:lang w:val="nl-BE"/>
        </w:rPr>
      </w:pPr>
      <w:r w:rsidRPr="00584F61">
        <w:rPr>
          <w:rFonts w:eastAsia="Lato"/>
          <w:lang w:val="nl-BE"/>
        </w:rPr>
        <w:t>Termijn tussen de terbeschikkingstelling van de opdrachtdocumenten en de ontvangst van de offertes</w:t>
      </w:r>
    </w:p>
    <w:p w14:paraId="1F2B80BE" w14:textId="6E2D73E3" w:rsidR="00A67DBD" w:rsidRDefault="00A67DBD" w:rsidP="00A67DBD">
      <w:pPr>
        <w:rPr>
          <w:rFonts w:eastAsia="Lato" w:cs="Lato"/>
          <w:color w:val="000000" w:themeColor="text1"/>
        </w:rPr>
      </w:pPr>
      <w:r>
        <w:rPr>
          <w:rFonts w:eastAsia="Lato" w:cs="Lato"/>
          <w:color w:val="000000" w:themeColor="text1"/>
        </w:rPr>
        <w:t>De aanbesteder moet voorzien</w:t>
      </w:r>
      <w:r w:rsidRPr="37980BE0">
        <w:rPr>
          <w:rFonts w:eastAsia="Lato" w:cs="Lato"/>
          <w:color w:val="000000" w:themeColor="text1"/>
        </w:rPr>
        <w:t xml:space="preserve"> in een toereikende termijn tussen de mededeling van de opdracht</w:t>
      </w:r>
      <w:r>
        <w:rPr>
          <w:rFonts w:eastAsia="Lato" w:cs="Lato"/>
          <w:color w:val="000000" w:themeColor="text1"/>
        </w:rPr>
        <w:t>, namelijk het publiceren of verzenden van de opdrachtdocumenten,</w:t>
      </w:r>
      <w:r w:rsidRPr="37980BE0">
        <w:rPr>
          <w:rFonts w:eastAsia="Lato" w:cs="Lato"/>
          <w:color w:val="000000" w:themeColor="text1"/>
        </w:rPr>
        <w:t xml:space="preserve"> en</w:t>
      </w:r>
      <w:r w:rsidR="009F7224">
        <w:rPr>
          <w:rFonts w:eastAsia="Lato" w:cs="Lato"/>
          <w:color w:val="000000" w:themeColor="text1"/>
        </w:rPr>
        <w:t xml:space="preserve"> de</w:t>
      </w:r>
      <w:r w:rsidRPr="37980BE0">
        <w:rPr>
          <w:rFonts w:eastAsia="Lato" w:cs="Lato"/>
          <w:color w:val="000000" w:themeColor="text1"/>
        </w:rPr>
        <w:t xml:space="preserve"> ontvangst van de kandidaturen of offertes. </w:t>
      </w:r>
      <w:r w:rsidR="000F1EE6" w:rsidRPr="37980BE0">
        <w:rPr>
          <w:rFonts w:eastAsia="Lato" w:cs="Lato"/>
          <w:color w:val="000000" w:themeColor="text1"/>
        </w:rPr>
        <w:t xml:space="preserve">Hierbij moet </w:t>
      </w:r>
      <w:r w:rsidR="000F1EE6">
        <w:rPr>
          <w:rFonts w:eastAsia="Lato" w:cs="Lato"/>
          <w:color w:val="000000" w:themeColor="text1"/>
        </w:rPr>
        <w:t xml:space="preserve">worden </w:t>
      </w:r>
      <w:r w:rsidR="000F1EE6" w:rsidRPr="37980BE0">
        <w:rPr>
          <w:rFonts w:eastAsia="Lato" w:cs="Lato"/>
          <w:color w:val="000000" w:themeColor="text1"/>
        </w:rPr>
        <w:t xml:space="preserve">rekening gehouden met de complexiteit van de opdracht, maar ook </w:t>
      </w:r>
      <w:r w:rsidR="000F1EE6">
        <w:rPr>
          <w:rFonts w:eastAsia="Lato" w:cs="Lato"/>
          <w:color w:val="000000" w:themeColor="text1"/>
        </w:rPr>
        <w:t xml:space="preserve">bijvoorbeeld </w:t>
      </w:r>
      <w:r w:rsidR="000F1EE6" w:rsidRPr="37980BE0">
        <w:rPr>
          <w:rFonts w:eastAsia="Lato" w:cs="Lato"/>
          <w:color w:val="000000" w:themeColor="text1"/>
        </w:rPr>
        <w:t>met vakantieperiodes zodat de ondernemers de tijd krijgen die nodig is voor de voorbereiding van hun offertes.</w:t>
      </w:r>
      <w:r w:rsidR="000F1EE6">
        <w:rPr>
          <w:rFonts w:eastAsia="Lato" w:cs="Lato"/>
          <w:color w:val="000000" w:themeColor="text1"/>
        </w:rPr>
        <w:t xml:space="preserve"> </w:t>
      </w:r>
      <w:r w:rsidRPr="00A24AD9">
        <w:rPr>
          <w:rFonts w:eastAsia="Lato" w:cs="Lato"/>
          <w:b/>
          <w:bCs/>
          <w:color w:val="0070C0"/>
        </w:rPr>
        <w:t xml:space="preserve">Indien nodig dient een langere termijn dan de minimumtermijnen </w:t>
      </w:r>
      <w:r w:rsidR="00DA553B">
        <w:rPr>
          <w:rFonts w:eastAsia="Lato" w:cs="Lato"/>
          <w:b/>
          <w:bCs/>
          <w:color w:val="0070C0"/>
        </w:rPr>
        <w:t>vermeld</w:t>
      </w:r>
      <w:r w:rsidR="00DA553B" w:rsidRPr="00A24AD9">
        <w:rPr>
          <w:rFonts w:eastAsia="Lato" w:cs="Lato"/>
          <w:b/>
          <w:bCs/>
          <w:color w:val="0070C0"/>
        </w:rPr>
        <w:t xml:space="preserve"> </w:t>
      </w:r>
      <w:r w:rsidRPr="00A24AD9">
        <w:rPr>
          <w:rFonts w:eastAsia="Lato" w:cs="Lato"/>
          <w:b/>
          <w:bCs/>
          <w:color w:val="0070C0"/>
        </w:rPr>
        <w:t>in de reglementering</w:t>
      </w:r>
      <w:r w:rsidR="00001934" w:rsidRPr="00A24AD9">
        <w:rPr>
          <w:rFonts w:eastAsia="Lato" w:cs="Lato"/>
          <w:b/>
          <w:bCs/>
          <w:color w:val="0070C0"/>
        </w:rPr>
        <w:t xml:space="preserve"> overheidsopdrachten</w:t>
      </w:r>
      <w:r w:rsidRPr="00A24AD9">
        <w:rPr>
          <w:rFonts w:eastAsia="Lato" w:cs="Lato"/>
          <w:b/>
          <w:bCs/>
          <w:color w:val="0070C0"/>
        </w:rPr>
        <w:t xml:space="preserve"> te worden voorzien</w:t>
      </w:r>
      <w:r w:rsidRPr="009F72DB">
        <w:rPr>
          <w:rFonts w:eastAsia="Lato" w:cs="Lato"/>
          <w:b/>
          <w:bCs/>
          <w:color w:val="0070C0"/>
        </w:rPr>
        <w:t>.</w:t>
      </w:r>
      <w:r>
        <w:rPr>
          <w:rFonts w:eastAsia="Lato" w:cs="Lato"/>
          <w:color w:val="000000" w:themeColor="text1"/>
        </w:rPr>
        <w:t xml:space="preserve"> Het gaat hier immers enkel om minimumtermijnen</w:t>
      </w:r>
      <w:r w:rsidR="000F4F0E">
        <w:rPr>
          <w:rFonts w:eastAsia="Lato" w:cs="Lato"/>
          <w:color w:val="000000" w:themeColor="text1"/>
        </w:rPr>
        <w:t xml:space="preserve"> en het </w:t>
      </w:r>
      <w:r w:rsidR="00D73510">
        <w:rPr>
          <w:rFonts w:eastAsia="Lato" w:cs="Lato"/>
          <w:color w:val="000000" w:themeColor="text1"/>
        </w:rPr>
        <w:t xml:space="preserve">standaard </w:t>
      </w:r>
      <w:r w:rsidR="000F4F0E">
        <w:rPr>
          <w:rFonts w:eastAsia="Lato" w:cs="Lato"/>
          <w:color w:val="000000" w:themeColor="text1"/>
        </w:rPr>
        <w:t xml:space="preserve">gebruik </w:t>
      </w:r>
      <w:r w:rsidR="00277A5A">
        <w:rPr>
          <w:rFonts w:eastAsia="Lato" w:cs="Lato"/>
          <w:color w:val="000000" w:themeColor="text1"/>
        </w:rPr>
        <w:t xml:space="preserve">ervan </w:t>
      </w:r>
      <w:r w:rsidR="000F4F0E">
        <w:rPr>
          <w:rFonts w:eastAsia="Lato" w:cs="Lato"/>
          <w:color w:val="000000" w:themeColor="text1"/>
        </w:rPr>
        <w:t>zal de kwaliteit van de offertes niet ten goede komen</w:t>
      </w:r>
      <w:r w:rsidR="008F11BD">
        <w:rPr>
          <w:rFonts w:eastAsia="Lato" w:cs="Lato"/>
          <w:color w:val="000000" w:themeColor="text1"/>
        </w:rPr>
        <w:t>, zeker niet bij niet-eenvoudige opdrachten</w:t>
      </w:r>
      <w:r>
        <w:rPr>
          <w:rFonts w:eastAsia="Lato" w:cs="Lato"/>
          <w:color w:val="000000" w:themeColor="text1"/>
        </w:rPr>
        <w:t>.</w:t>
      </w:r>
      <w:r w:rsidRPr="37980BE0">
        <w:rPr>
          <w:rFonts w:eastAsia="Lato" w:cs="Lato"/>
          <w:color w:val="000000" w:themeColor="text1"/>
        </w:rPr>
        <w:t xml:space="preserve"> </w:t>
      </w:r>
    </w:p>
    <w:p w14:paraId="62F6C812" w14:textId="310ACA00" w:rsidR="00A67DBD" w:rsidRPr="007E23A3" w:rsidRDefault="00A67DBD" w:rsidP="00A67DBD">
      <w:pPr>
        <w:rPr>
          <w:rFonts w:eastAsia="Lato" w:cs="Lato"/>
          <w:color w:val="000000" w:themeColor="text1"/>
        </w:rPr>
      </w:pPr>
      <w:r w:rsidRPr="00175300">
        <w:rPr>
          <w:rFonts w:eastAsia="Lato" w:cs="Lato"/>
          <w:b/>
          <w:bCs/>
          <w:color w:val="000000" w:themeColor="text1"/>
        </w:rPr>
        <w:t>Het inkorten van termijnen via onder meer de vooraankondiging</w:t>
      </w:r>
      <w:r>
        <w:rPr>
          <w:rFonts w:eastAsia="Lato" w:cs="Lato"/>
          <w:color w:val="000000" w:themeColor="text1"/>
        </w:rPr>
        <w:t xml:space="preserve">, zie eerder, moet zoveel als mogelijk vermeden worden en </w:t>
      </w:r>
      <w:r w:rsidRPr="00175300">
        <w:rPr>
          <w:rFonts w:eastAsia="Lato" w:cs="Lato"/>
          <w:b/>
          <w:bCs/>
          <w:color w:val="000000" w:themeColor="text1"/>
        </w:rPr>
        <w:t xml:space="preserve">wordt in het algemeen </w:t>
      </w:r>
      <w:r w:rsidRPr="00175300">
        <w:rPr>
          <w:rFonts w:eastAsia="Lato" w:cs="Lato"/>
          <w:b/>
          <w:bCs/>
          <w:color w:val="C00000"/>
        </w:rPr>
        <w:t xml:space="preserve">als </w:t>
      </w:r>
      <w:r w:rsidR="000A1763" w:rsidRPr="00175300">
        <w:rPr>
          <w:rFonts w:eastAsia="Lato" w:cs="Lato"/>
          <w:b/>
          <w:bCs/>
          <w:color w:val="C00000"/>
        </w:rPr>
        <w:t xml:space="preserve">een </w:t>
      </w:r>
      <w:r w:rsidRPr="00175300">
        <w:rPr>
          <w:rFonts w:eastAsia="Lato" w:cs="Lato"/>
          <w:b/>
          <w:bCs/>
          <w:color w:val="C00000"/>
        </w:rPr>
        <w:t>bad practice beschouwd</w:t>
      </w:r>
      <w:r>
        <w:rPr>
          <w:rFonts w:eastAsia="Lato" w:cs="Lato"/>
          <w:color w:val="000000" w:themeColor="text1"/>
        </w:rPr>
        <w:t xml:space="preserve">. </w:t>
      </w:r>
      <w:r w:rsidRPr="37980BE0">
        <w:rPr>
          <w:rFonts w:eastAsia="Lato" w:cs="Lato"/>
          <w:color w:val="000000" w:themeColor="text1"/>
        </w:rPr>
        <w:t xml:space="preserve"> </w:t>
      </w:r>
    </w:p>
    <w:p w14:paraId="30664C95" w14:textId="77777777" w:rsidR="00A67DBD" w:rsidRPr="003D5EFD" w:rsidRDefault="00A67DBD" w:rsidP="00A67DBD">
      <w:pPr>
        <w:pStyle w:val="Kop4"/>
        <w:rPr>
          <w:rFonts w:eastAsia="Lato"/>
          <w:lang w:val="nl-BE"/>
        </w:rPr>
      </w:pPr>
      <w:r w:rsidRPr="003D5EFD">
        <w:rPr>
          <w:rFonts w:eastAsia="Lato"/>
          <w:lang w:val="nl-BE"/>
        </w:rPr>
        <w:t>Gebruik van visitekaartjes</w:t>
      </w:r>
    </w:p>
    <w:p w14:paraId="5F94B523" w14:textId="1967024C" w:rsidR="00A67DBD" w:rsidRDefault="00A67DBD" w:rsidP="00A67DBD">
      <w:pPr>
        <w:rPr>
          <w:rFonts w:eastAsia="Lato" w:cs="Lato"/>
          <w:color w:val="000000" w:themeColor="text1"/>
        </w:rPr>
      </w:pPr>
      <w:r w:rsidRPr="5FA15520">
        <w:rPr>
          <w:rFonts w:eastAsia="Lato" w:cs="Lato"/>
          <w:color w:val="000000" w:themeColor="text1"/>
        </w:rPr>
        <w:t xml:space="preserve">Wanneer ondernemers zich registreren op e-Procurement kunnen ze vrijblijvend een visitekaartje </w:t>
      </w:r>
      <w:r>
        <w:rPr>
          <w:rFonts w:eastAsia="Lato" w:cs="Lato"/>
          <w:color w:val="000000" w:themeColor="text1"/>
        </w:rPr>
        <w:t>invullen</w:t>
      </w:r>
      <w:r w:rsidRPr="5FA15520">
        <w:rPr>
          <w:rFonts w:eastAsia="Lato" w:cs="Lato"/>
          <w:color w:val="000000" w:themeColor="text1"/>
        </w:rPr>
        <w:t xml:space="preserve"> om hun zichtbaarheid te vergroten.</w:t>
      </w:r>
      <w:r>
        <w:rPr>
          <w:rFonts w:eastAsia="Lato" w:cs="Lato"/>
          <w:color w:val="000000" w:themeColor="text1"/>
        </w:rPr>
        <w:t xml:space="preserve"> </w:t>
      </w:r>
      <w:r w:rsidRPr="0049208E">
        <w:rPr>
          <w:rFonts w:eastAsia="Lato" w:cs="Lato"/>
          <w:color w:val="000000" w:themeColor="text1"/>
        </w:rPr>
        <w:t>Ondernemingen kunnen door het registreren van hun gegevens bijvoorbeeld aangeven in welk type opdrachten zij geïnteresseerd zijn/expertise hebben en in welke regio ze gesitueerd zijn.</w:t>
      </w:r>
    </w:p>
    <w:p w14:paraId="5FBBD31B" w14:textId="0DF27A4D" w:rsidR="00A67DBD" w:rsidRDefault="00A67DBD" w:rsidP="00A67DBD">
      <w:pPr>
        <w:rPr>
          <w:rFonts w:eastAsia="Lato" w:cs="Lato"/>
          <w:color w:val="000000" w:themeColor="text1"/>
        </w:rPr>
      </w:pPr>
      <w:r w:rsidRPr="08598329">
        <w:rPr>
          <w:rFonts w:eastAsia="Lato" w:cs="Lato"/>
          <w:color w:val="000000" w:themeColor="text1"/>
        </w:rPr>
        <w:t xml:space="preserve">Aanbesteders worden dan ook aangespoord om hier zeker gebruik van te maken bij het zoeken naar mogelijke kandidaten om een opdracht uit te voeren, onder meer </w:t>
      </w:r>
      <w:r w:rsidR="00F054AD">
        <w:rPr>
          <w:rFonts w:eastAsia="Lato" w:cs="Lato"/>
          <w:color w:val="000000" w:themeColor="text1"/>
        </w:rPr>
        <w:t>in het kader van een</w:t>
      </w:r>
      <w:r w:rsidRPr="08598329">
        <w:rPr>
          <w:rFonts w:eastAsia="Lato" w:cs="Lato"/>
          <w:color w:val="000000" w:themeColor="text1"/>
        </w:rPr>
        <w:t xml:space="preserve"> </w:t>
      </w:r>
      <w:r w:rsidR="00F054AD">
        <w:rPr>
          <w:rFonts w:eastAsia="Lato" w:cs="Lato"/>
          <w:color w:val="000000" w:themeColor="text1"/>
        </w:rPr>
        <w:t>OPZB</w:t>
      </w:r>
      <w:r w:rsidRPr="08598329">
        <w:rPr>
          <w:rFonts w:eastAsia="Lato" w:cs="Lato"/>
          <w:color w:val="000000" w:themeColor="text1"/>
        </w:rPr>
        <w:t>. Zo kan er gericht gezocht worden op basis van verschillende parameters zoals CPV- en NUTS-codes of economische activiteit en kunnen potentieel “relevante” ondernemingen uitgenodigd worden om het bestek te bekijken en te participeren aan de opdracht</w:t>
      </w:r>
      <w:r w:rsidR="0090443E">
        <w:rPr>
          <w:rFonts w:eastAsia="Lato" w:cs="Lato"/>
          <w:color w:val="000000" w:themeColor="text1"/>
        </w:rPr>
        <w:t xml:space="preserve">. </w:t>
      </w:r>
    </w:p>
    <w:p w14:paraId="737D4C8D" w14:textId="6D54D33C" w:rsidR="00E63DF7" w:rsidRDefault="00E63DF7" w:rsidP="00A67DBD">
      <w:pPr>
        <w:rPr>
          <w:rFonts w:eastAsia="Lato" w:cs="Lato"/>
          <w:color w:val="000000" w:themeColor="text1"/>
        </w:rPr>
      </w:pPr>
      <w:r>
        <w:rPr>
          <w:rFonts w:eastAsia="Lato" w:cs="Lato"/>
          <w:color w:val="000000" w:themeColor="text1"/>
        </w:rPr>
        <w:t xml:space="preserve">In het kader van het nieuwe e-Procurement </w:t>
      </w:r>
      <w:r w:rsidR="00031925">
        <w:rPr>
          <w:rFonts w:eastAsia="Lato" w:cs="Lato"/>
          <w:color w:val="000000" w:themeColor="text1"/>
        </w:rPr>
        <w:t>werden de visitekaartjes van een update voorzien waardoor ze accurater</w:t>
      </w:r>
      <w:r w:rsidR="006C6949">
        <w:rPr>
          <w:rFonts w:eastAsia="Lato" w:cs="Lato"/>
          <w:color w:val="000000" w:themeColor="text1"/>
        </w:rPr>
        <w:t xml:space="preserve"> zijn en zullen blijven</w:t>
      </w:r>
      <w:r w:rsidR="00184790">
        <w:rPr>
          <w:rFonts w:eastAsia="Lato" w:cs="Lato"/>
          <w:color w:val="000000" w:themeColor="text1"/>
        </w:rPr>
        <w:t xml:space="preserve">. </w:t>
      </w:r>
    </w:p>
    <w:p w14:paraId="37E19E45" w14:textId="32F57E84" w:rsidR="0009126A" w:rsidRPr="002B16FE" w:rsidRDefault="0009126A" w:rsidP="0009126A">
      <w:pPr>
        <w:pStyle w:val="Kop4"/>
        <w:rPr>
          <w:lang w:val="nl-BE"/>
        </w:rPr>
      </w:pPr>
      <w:r w:rsidRPr="002B16FE">
        <w:rPr>
          <w:lang w:val="nl-BE"/>
        </w:rPr>
        <w:t>Zoekprofielen</w:t>
      </w:r>
    </w:p>
    <w:p w14:paraId="08C53054" w14:textId="28EE2134" w:rsidR="0009126A" w:rsidRDefault="00B32637" w:rsidP="0009126A">
      <w:r w:rsidRPr="00A502D4">
        <w:t xml:space="preserve">Een </w:t>
      </w:r>
      <w:r w:rsidR="00141DEC">
        <w:t xml:space="preserve">voor de ondernemingen </w:t>
      </w:r>
      <w:r w:rsidRPr="00A502D4">
        <w:t>heel interessant instrument</w:t>
      </w:r>
      <w:r>
        <w:t xml:space="preserve"> </w:t>
      </w:r>
      <w:r w:rsidR="00874D38">
        <w:t>in e-Procurement</w:t>
      </w:r>
      <w:r w:rsidR="007E74C3">
        <w:t>,</w:t>
      </w:r>
      <w:r w:rsidR="00874D38">
        <w:t xml:space="preserve"> </w:t>
      </w:r>
      <w:r w:rsidR="00A502D4">
        <w:t xml:space="preserve">zijn de zoekprofielen. </w:t>
      </w:r>
      <w:r w:rsidR="00870AD1">
        <w:t>Via dergelijke profielen</w:t>
      </w:r>
      <w:r w:rsidR="00A502D4">
        <w:t xml:space="preserve"> kunnen </w:t>
      </w:r>
      <w:r w:rsidR="00A502D4" w:rsidRPr="00A502D4">
        <w:t>onderneming</w:t>
      </w:r>
      <w:r w:rsidR="00A502D4">
        <w:t>en</w:t>
      </w:r>
      <w:r w:rsidR="00A502D4" w:rsidRPr="00A502D4">
        <w:t xml:space="preserve"> automatisch op de hoogte gehouden worden van nieuwe overheidsopdrachten die binnen </w:t>
      </w:r>
      <w:r w:rsidR="00A502D4">
        <w:t>hun</w:t>
      </w:r>
      <w:r w:rsidR="00A502D4" w:rsidRPr="00A502D4">
        <w:t xml:space="preserve"> expertise vallen.</w:t>
      </w:r>
      <w:r w:rsidR="005B1246">
        <w:t xml:space="preserve"> Iets wat ook de aanbesteder ten goede </w:t>
      </w:r>
      <w:r w:rsidR="0050560A">
        <w:t xml:space="preserve">kan komen in de vorm van een verhoogde mededinging. </w:t>
      </w:r>
    </w:p>
    <w:p w14:paraId="0B448A1D" w14:textId="729EA246" w:rsidR="00F34515" w:rsidRDefault="00F34515" w:rsidP="0009126A">
      <w:r>
        <w:t xml:space="preserve">Er wordt dan ook van de aanbesteders gevraagd om in de mate van het mogelijke promotie te maken rond </w:t>
      </w:r>
      <w:r w:rsidR="00964AF5">
        <w:t>dat instrument</w:t>
      </w:r>
      <w:r w:rsidR="000B0F26">
        <w:t xml:space="preserve">, bijvoorbeeld op hun website of via de opdrachtdocumenten. </w:t>
      </w:r>
    </w:p>
    <w:p w14:paraId="1FF79F70" w14:textId="027304D2" w:rsidR="006347DF" w:rsidRPr="00A502D4" w:rsidRDefault="007614F8" w:rsidP="0009126A">
      <w:r>
        <w:t>Voor m</w:t>
      </w:r>
      <w:r w:rsidR="006347DF">
        <w:t>eer praktische informatie over zoekprofielen</w:t>
      </w:r>
      <w:r>
        <w:t xml:space="preserve">, zie het </w:t>
      </w:r>
      <w:r w:rsidR="00B030BC">
        <w:t xml:space="preserve">e-Procurement </w:t>
      </w:r>
      <w:hyperlink r:id="rId66" w:history="1">
        <w:r w:rsidRPr="00901E90">
          <w:rPr>
            <w:rStyle w:val="Hyperlink"/>
          </w:rPr>
          <w:t>helpcentrum</w:t>
        </w:r>
      </w:hyperlink>
      <w:r w:rsidR="00B030BC">
        <w:t>.</w:t>
      </w:r>
    </w:p>
    <w:p w14:paraId="3DA2F1E5" w14:textId="7531EE1A" w:rsidR="009069A3" w:rsidRPr="009069A3" w:rsidRDefault="001B4544">
      <w:pPr>
        <w:pStyle w:val="Kop2"/>
      </w:pPr>
      <w:bookmarkStart w:id="42" w:name="_Toc135839942"/>
      <w:bookmarkStart w:id="43" w:name="_Toc150870547"/>
      <w:r>
        <w:lastRenderedPageBreak/>
        <w:t>Richtlijnen en instructies</w:t>
      </w:r>
      <w:bookmarkEnd w:id="42"/>
      <w:bookmarkEnd w:id="43"/>
    </w:p>
    <w:p w14:paraId="669014E7" w14:textId="559EA857" w:rsidR="005B35EE" w:rsidRPr="001C306D" w:rsidRDefault="005B35EE">
      <w:pPr>
        <w:pStyle w:val="Lijstnummering"/>
        <w:numPr>
          <w:ilvl w:val="0"/>
          <w:numId w:val="34"/>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rsidRPr="00493417">
        <w:rPr>
          <w:rFonts w:eastAsia="Lato"/>
          <w:b/>
          <w:bCs/>
        </w:rPr>
        <w:t>Zorg vóór de opmaak van het bestek dat de te vervullen behoefte duidelijk omschreven is. Een grondige voorafgaande marktverkenning is een nuttig instrument</w:t>
      </w:r>
      <w:r w:rsidRPr="001C306D">
        <w:rPr>
          <w:rFonts w:eastAsia="Lato"/>
        </w:rPr>
        <w:t xml:space="preserve"> om de behoefte af te toetsen aan de marktrealiteit en kennis te nemen van wat de markt te bieden heeft. Verken dan ook bij voorkeur systematisch de markt, waarbij het duidelijk is voor de onderneming wat er verwacht wordt en waar zij aan toe is. Maak daarbij onder meer gebruik van de “</w:t>
      </w:r>
      <w:r w:rsidRPr="001C306D">
        <w:rPr>
          <w:rFonts w:eastAsia="Lato"/>
          <w:i/>
          <w:iCs/>
        </w:rPr>
        <w:t>Preliminary market consultation</w:t>
      </w:r>
      <w:r w:rsidRPr="001C306D">
        <w:rPr>
          <w:rFonts w:eastAsia="Lato"/>
        </w:rPr>
        <w:t>”</w:t>
      </w:r>
      <w:r w:rsidR="002A7ED9">
        <w:rPr>
          <w:rFonts w:eastAsia="Lato"/>
        </w:rPr>
        <w:t xml:space="preserve"> (PMC)</w:t>
      </w:r>
      <w:r w:rsidRPr="001C306D">
        <w:rPr>
          <w:rFonts w:eastAsia="Lato"/>
        </w:rPr>
        <w:t xml:space="preserve"> in e-Procurement</w:t>
      </w:r>
      <w:r w:rsidR="00F641BD">
        <w:rPr>
          <w:rFonts w:eastAsia="Lato"/>
        </w:rPr>
        <w:t xml:space="preserve"> en lanceer indien nodig een voorstudie</w:t>
      </w:r>
      <w:r w:rsidRPr="001C306D">
        <w:rPr>
          <w:rFonts w:eastAsia="Lato"/>
        </w:rPr>
        <w:t>.</w:t>
      </w:r>
      <w:r w:rsidR="002A3058">
        <w:rPr>
          <w:rFonts w:eastAsia="Lato"/>
        </w:rPr>
        <w:t xml:space="preserve"> Wees u ook bewust van het bestaan van het Nido Innovatielab bij de FOD BOSA. </w:t>
      </w:r>
      <w:r w:rsidRPr="001C306D">
        <w:rPr>
          <w:rFonts w:eastAsia="Lato"/>
        </w:rPr>
        <w:t xml:space="preserve"> </w:t>
      </w:r>
    </w:p>
    <w:p w14:paraId="29A4B2FD" w14:textId="24DACC00" w:rsidR="00E73ECC" w:rsidRDefault="00B40D7B">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B40D7B">
        <w:rPr>
          <w:rFonts w:eastAsia="Lato"/>
        </w:rPr>
        <w:t>In het kader van een gepaste bekendmaking is het van belang dat de opdrachtdocumenten tijdig gepubliceerd worden en dat de potentiële inschrijvers zo spoedig mogelijk een zicht krijgen in de diverse timing gedurende zowel de plaatsingsprocedure als de uitvoering, bijvoorbeeld via een indicatief tijdschema. De aanbesteder moet uitgaan van volgende vuistregel: hoe sneller de voor de potentiële inschrijvers relevante documenten gepubliceerd zijn, hoe beter voor de mededinging en de kwaliteit van de offertes.</w:t>
      </w:r>
    </w:p>
    <w:p w14:paraId="407EBD2E" w14:textId="19E963C1" w:rsidR="005B35EE" w:rsidRDefault="005B35EE">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7A3C7D3E">
        <w:rPr>
          <w:rFonts w:eastAsia="Lato"/>
        </w:rPr>
        <w:t xml:space="preserve">Maak maximaal gebruik van de vooraankondiging van een opdracht zodat ondernemingen tijdig geïnformeerd </w:t>
      </w:r>
      <w:r w:rsidR="0035208D" w:rsidRPr="7A3C7D3E">
        <w:rPr>
          <w:rFonts w:eastAsia="Lato"/>
        </w:rPr>
        <w:t xml:space="preserve">worden </w:t>
      </w:r>
      <w:r w:rsidRPr="7A3C7D3E">
        <w:rPr>
          <w:rFonts w:eastAsia="Lato"/>
        </w:rPr>
        <w:t xml:space="preserve">en zich </w:t>
      </w:r>
      <w:r w:rsidR="00FD234D">
        <w:rPr>
          <w:rFonts w:eastAsia="Lato"/>
        </w:rPr>
        <w:t xml:space="preserve">grondiger </w:t>
      </w:r>
      <w:r w:rsidRPr="7A3C7D3E">
        <w:rPr>
          <w:rFonts w:eastAsia="Lato"/>
        </w:rPr>
        <w:t xml:space="preserve">kunnen voorbereiden op de deelname aan de aldus aangekondigde opdrachten. </w:t>
      </w:r>
      <w:r w:rsidR="00240AE1">
        <w:rPr>
          <w:rFonts w:eastAsia="Lato"/>
        </w:rPr>
        <w:t>G</w:t>
      </w:r>
      <w:r w:rsidRPr="7A3C7D3E">
        <w:rPr>
          <w:rFonts w:eastAsia="Lato"/>
        </w:rPr>
        <w:t xml:space="preserve">ebruik </w:t>
      </w:r>
      <w:r w:rsidR="00240AE1">
        <w:rPr>
          <w:rFonts w:eastAsia="Lato"/>
        </w:rPr>
        <w:t>daarvoor</w:t>
      </w:r>
      <w:r w:rsidR="00240AE1" w:rsidRPr="7A3C7D3E">
        <w:rPr>
          <w:rFonts w:eastAsia="Lato"/>
        </w:rPr>
        <w:t xml:space="preserve"> </w:t>
      </w:r>
      <w:r w:rsidRPr="7A3C7D3E">
        <w:rPr>
          <w:rFonts w:eastAsia="Lato"/>
        </w:rPr>
        <w:t>de functionaliteiten van e-Procurement.</w:t>
      </w:r>
    </w:p>
    <w:p w14:paraId="592C70B1" w14:textId="28FE4526" w:rsidR="005B35EE" w:rsidRPr="007E23A3" w:rsidRDefault="005B35EE">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7A3C7D3E">
        <w:rPr>
          <w:rFonts w:eastAsia="Lato"/>
        </w:rPr>
        <w:t xml:space="preserve">Maak waar nuttig gebruik van informatiesessies waarin mondelinge communicatie wordt gebruikt voor het verstrekken van toelichtingen in verband met een welbepaalde opdracht. </w:t>
      </w:r>
    </w:p>
    <w:p w14:paraId="18EC0E1F" w14:textId="790C4356" w:rsidR="005B35EE" w:rsidRDefault="005B35EE">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7A3C7D3E">
        <w:rPr>
          <w:rFonts w:eastAsia="Lato"/>
        </w:rPr>
        <w:t>Het bestaan van een risico op de verstoring van de mededinging wegens het onzorgvuldig omgaan met voorafgaande marktconsultaties en/of informatiesessies</w:t>
      </w:r>
      <w:r w:rsidR="0060138A">
        <w:rPr>
          <w:rFonts w:eastAsia="Lato"/>
        </w:rPr>
        <w:t xml:space="preserve"> moet fel genuanceerd worden.</w:t>
      </w:r>
      <w:r w:rsidRPr="7A3C7D3E">
        <w:rPr>
          <w:rFonts w:eastAsia="Lato"/>
        </w:rPr>
        <w:t xml:space="preserve"> </w:t>
      </w:r>
      <w:r w:rsidRPr="002978B9">
        <w:rPr>
          <w:rFonts w:eastAsia="Lato"/>
          <w:b/>
          <w:bCs/>
        </w:rPr>
        <w:t>De voordelen van beide wegen ruimschoots op tegen de potentiële nadelen, nadelen die bovendien vermijdbaar en behandelbaar zijn</w:t>
      </w:r>
      <w:r w:rsidRPr="00A84959">
        <w:rPr>
          <w:rFonts w:eastAsia="Lato"/>
          <w:b/>
          <w:bCs/>
        </w:rPr>
        <w:t>.</w:t>
      </w:r>
      <w:r w:rsidR="0060138A">
        <w:rPr>
          <w:rFonts w:eastAsia="Lato"/>
        </w:rPr>
        <w:t xml:space="preserve"> Er</w:t>
      </w:r>
      <w:r w:rsidR="0060138A" w:rsidRPr="0060138A">
        <w:rPr>
          <w:rFonts w:eastAsia="Lato"/>
        </w:rPr>
        <w:t xml:space="preserve"> </w:t>
      </w:r>
      <w:r w:rsidR="0060138A" w:rsidRPr="7A3C7D3E">
        <w:rPr>
          <w:rFonts w:eastAsia="Lato"/>
        </w:rPr>
        <w:t>is</w:t>
      </w:r>
      <w:r w:rsidR="0060138A">
        <w:rPr>
          <w:rFonts w:eastAsia="Lato"/>
        </w:rPr>
        <w:t xml:space="preserve"> dus</w:t>
      </w:r>
      <w:r w:rsidR="0060138A" w:rsidRPr="7A3C7D3E">
        <w:rPr>
          <w:rFonts w:eastAsia="Lato"/>
        </w:rPr>
        <w:t xml:space="preserve"> geen reden om bij voorbaat te beslissen om geen gebruik te maken van die instrumenten</w:t>
      </w:r>
      <w:r w:rsidR="00AC2FA9">
        <w:rPr>
          <w:rFonts w:eastAsia="Lato"/>
        </w:rPr>
        <w:t xml:space="preserve">, in tegendeel. Het gebruik </w:t>
      </w:r>
      <w:r w:rsidR="00724170">
        <w:rPr>
          <w:rFonts w:eastAsia="Lato"/>
        </w:rPr>
        <w:t xml:space="preserve">ervan wordt als een best practice beschouwd. </w:t>
      </w:r>
    </w:p>
    <w:p w14:paraId="39CACDA0" w14:textId="7767A2DC" w:rsidR="00564317" w:rsidRDefault="00564317">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Pr>
          <w:rFonts w:eastAsia="Lato"/>
        </w:rPr>
        <w:t xml:space="preserve">In het kader van </w:t>
      </w:r>
      <w:r w:rsidR="007D446F">
        <w:rPr>
          <w:rFonts w:eastAsia="Lato"/>
        </w:rPr>
        <w:t xml:space="preserve">bijvoorbeeld </w:t>
      </w:r>
      <w:r>
        <w:rPr>
          <w:rFonts w:eastAsia="Lato"/>
        </w:rPr>
        <w:t xml:space="preserve">onduidelijkheden </w:t>
      </w:r>
      <w:r w:rsidR="00694200" w:rsidRPr="00BA3BB3">
        <w:rPr>
          <w:rFonts w:eastAsia="Lato"/>
          <w:i/>
          <w:iCs/>
        </w:rPr>
        <w:t>in de opdrachtdocumenten</w:t>
      </w:r>
      <w:r w:rsidR="00A44550">
        <w:rPr>
          <w:rFonts w:eastAsia="Lato"/>
        </w:rPr>
        <w:t xml:space="preserve"> is het beter om een rechtzettingsbericht </w:t>
      </w:r>
      <w:r w:rsidR="00A54649">
        <w:rPr>
          <w:rFonts w:eastAsia="Lato"/>
        </w:rPr>
        <w:t xml:space="preserve">te publiceren dan om “gewoon” de vragen te beantwoorden. </w:t>
      </w:r>
      <w:r w:rsidR="00AA0056">
        <w:rPr>
          <w:rFonts w:eastAsia="Lato"/>
        </w:rPr>
        <w:t xml:space="preserve">Hou daarbij rekening met de wettelijke bepalingen inzake het verlengen van termijnen en beperk u niet noodzakelijk tot de wettelijke minima. </w:t>
      </w:r>
    </w:p>
    <w:p w14:paraId="32E66A3E" w14:textId="56810382" w:rsidR="005B35EE" w:rsidRDefault="005B35EE">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7A3C7D3E">
        <w:rPr>
          <w:rFonts w:eastAsia="Lato"/>
        </w:rPr>
        <w:t xml:space="preserve">Voorzie passende termijnen voor de ontvangst van de offertes, zodat de ondernemers de tijd krijgen die nodig is voor de voorbereiding van hun offertes. Ga daarbij niet automatisch uit van de minimumtermijnen, maar werk per opdracht op maat. Het inkorten van termijnen is, tenzij in heel uitzonderlijke gevallen, een bad practice. </w:t>
      </w:r>
    </w:p>
    <w:p w14:paraId="79A6C750" w14:textId="2C7B85CB" w:rsidR="00DB1AF0" w:rsidRDefault="005B35EE">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7A3C7D3E">
        <w:rPr>
          <w:rFonts w:eastAsia="Lato"/>
        </w:rPr>
        <w:t>Maak wanneer mogelijk gebruik van andere instrumenten om een opdracht bekend te maken, zoals de vrijwillige bekendmaking (bij voorkeur minimaal op Belgisch niveau) en het gebruik van visitekaartjes, allebei beschikbaar in e-Procurement. Beide toepassingen worden beschouwd als een best practice.</w:t>
      </w:r>
      <w:r w:rsidR="00E077E2">
        <w:rPr>
          <w:rFonts w:eastAsia="Lato"/>
        </w:rPr>
        <w:t xml:space="preserve"> Promoot</w:t>
      </w:r>
      <w:r w:rsidR="00312E80">
        <w:rPr>
          <w:rFonts w:eastAsia="Lato"/>
        </w:rPr>
        <w:t xml:space="preserve"> </w:t>
      </w:r>
      <w:r w:rsidR="009C5D74">
        <w:rPr>
          <w:rFonts w:eastAsia="Lato"/>
        </w:rPr>
        <w:t>bij ondernemingen het gebruik van zoekprofielen in e-Procurement, bijv</w:t>
      </w:r>
      <w:r w:rsidR="00A7418F">
        <w:rPr>
          <w:rFonts w:eastAsia="Lato"/>
        </w:rPr>
        <w:t>oorbeeld</w:t>
      </w:r>
      <w:r w:rsidR="00420450">
        <w:rPr>
          <w:rFonts w:eastAsia="Lato"/>
        </w:rPr>
        <w:t xml:space="preserve"> via </w:t>
      </w:r>
      <w:r w:rsidR="00B74FB4">
        <w:rPr>
          <w:rFonts w:eastAsia="Lato"/>
        </w:rPr>
        <w:t>uw</w:t>
      </w:r>
      <w:r w:rsidR="00420450">
        <w:rPr>
          <w:rFonts w:eastAsia="Lato"/>
        </w:rPr>
        <w:t xml:space="preserve"> website of via de opdrachtdocumenten. </w:t>
      </w:r>
    </w:p>
    <w:p w14:paraId="14AD144E" w14:textId="030C368A" w:rsidR="0036759C" w:rsidRDefault="0061398B">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Pr>
          <w:rFonts w:eastAsia="Lato"/>
        </w:rPr>
        <w:t>Gebruik</w:t>
      </w:r>
      <w:r w:rsidR="0036759C">
        <w:rPr>
          <w:rFonts w:eastAsia="Lato"/>
        </w:rPr>
        <w:t xml:space="preserve"> bij opdrachten voor werken</w:t>
      </w:r>
      <w:r>
        <w:rPr>
          <w:rFonts w:eastAsia="Lato"/>
        </w:rPr>
        <w:t xml:space="preserve"> de</w:t>
      </w:r>
      <w:r w:rsidR="0036759C">
        <w:rPr>
          <w:rFonts w:eastAsia="Lato"/>
        </w:rPr>
        <w:t xml:space="preserve"> “</w:t>
      </w:r>
      <w:hyperlink r:id="rId67" w:history="1">
        <w:r w:rsidR="0036759C" w:rsidRPr="009F4381">
          <w:rPr>
            <w:rStyle w:val="Hyperlink"/>
            <w:rFonts w:eastAsia="Lato"/>
          </w:rPr>
          <w:t>Standaard Taken Lijst</w:t>
        </w:r>
      </w:hyperlink>
      <w:r w:rsidR="0036759C">
        <w:rPr>
          <w:rFonts w:eastAsia="Lato"/>
        </w:rPr>
        <w:t>” (STL)</w:t>
      </w:r>
      <w:r>
        <w:rPr>
          <w:rFonts w:eastAsia="Lato"/>
        </w:rPr>
        <w:t xml:space="preserve"> als hulpinstrument.</w:t>
      </w:r>
    </w:p>
    <w:p w14:paraId="29ABCAFF" w14:textId="0AC123E7" w:rsidR="005D4EB7" w:rsidRDefault="005D4EB7">
      <w:pPr>
        <w:pStyle w:val="Kop1"/>
      </w:pPr>
      <w:bookmarkStart w:id="44" w:name="_Toc132703171"/>
      <w:bookmarkStart w:id="45" w:name="_Toc135839943"/>
      <w:bookmarkStart w:id="46" w:name="_Toc150870548"/>
      <w:r>
        <w:t xml:space="preserve">Principe 3 – </w:t>
      </w:r>
      <w:bookmarkEnd w:id="44"/>
      <w:r w:rsidR="00A7238B">
        <w:t>Toepassing</w:t>
      </w:r>
      <w:r w:rsidR="009C1A9A" w:rsidRPr="009C1A9A">
        <w:t xml:space="preserve"> van de twee</w:t>
      </w:r>
      <w:r w:rsidR="00CD3B66">
        <w:t>- of meer</w:t>
      </w:r>
      <w:r w:rsidR="00D36B27">
        <w:t>fasige</w:t>
      </w:r>
      <w:r w:rsidR="00A7238B">
        <w:t xml:space="preserve"> </w:t>
      </w:r>
      <w:r w:rsidR="009C1A9A" w:rsidRPr="009C1A9A">
        <w:t>procedure</w:t>
      </w:r>
      <w:r w:rsidR="009C503F">
        <w:t>s</w:t>
      </w:r>
      <w:r w:rsidR="009C1A9A" w:rsidRPr="009C1A9A">
        <w:t xml:space="preserve"> en</w:t>
      </w:r>
      <w:r w:rsidR="00254EA1">
        <w:t xml:space="preserve"> van</w:t>
      </w:r>
      <w:r w:rsidR="009C1A9A" w:rsidRPr="009C1A9A">
        <w:t xml:space="preserve"> de procedures met onderhandelings- of dialoogelementen</w:t>
      </w:r>
      <w:bookmarkEnd w:id="45"/>
      <w:bookmarkEnd w:id="46"/>
    </w:p>
    <w:p w14:paraId="79F92E88" w14:textId="77777777" w:rsidR="00437C23" w:rsidRDefault="00437C23">
      <w:pPr>
        <w:pStyle w:val="Kop2"/>
      </w:pPr>
      <w:bookmarkStart w:id="47" w:name="_Toc135839944"/>
      <w:bookmarkStart w:id="48" w:name="_Toc150870549"/>
      <w:r>
        <w:t>Doelstelling</w:t>
      </w:r>
      <w:bookmarkEnd w:id="47"/>
      <w:bookmarkEnd w:id="48"/>
    </w:p>
    <w:p w14:paraId="49F05432" w14:textId="63201539" w:rsidR="00C34D81" w:rsidRDefault="00C34D81" w:rsidP="00984DF3">
      <w:pPr>
        <w:rPr>
          <w:rStyle w:val="normaltextrun"/>
          <w:lang w:val="nl-NL"/>
        </w:rPr>
      </w:pPr>
      <w:r>
        <w:rPr>
          <w:rStyle w:val="normaltextrun"/>
          <w:lang w:val="nl-NL"/>
        </w:rPr>
        <w:t xml:space="preserve">Het </w:t>
      </w:r>
      <w:r w:rsidR="00930968">
        <w:rPr>
          <w:rStyle w:val="normaltextrun"/>
          <w:lang w:val="nl-NL"/>
        </w:rPr>
        <w:t>maximaal</w:t>
      </w:r>
      <w:r>
        <w:rPr>
          <w:rStyle w:val="normaltextrun"/>
          <w:lang w:val="nl-NL"/>
        </w:rPr>
        <w:t xml:space="preserve"> benutten van de mogelijkheden en voordelen van enerzijds twee</w:t>
      </w:r>
      <w:r w:rsidR="00930968">
        <w:rPr>
          <w:rStyle w:val="normaltextrun"/>
          <w:lang w:val="nl-NL"/>
        </w:rPr>
        <w:t>-</w:t>
      </w:r>
      <w:r>
        <w:rPr>
          <w:rStyle w:val="normaltextrun"/>
          <w:lang w:val="nl-NL"/>
        </w:rPr>
        <w:t xml:space="preserve"> of meerfasige plaatsingsprocedures en anderzijds procedures met onderhandeling of dialoog om zo innovatieve oplossingen de kans te geven de specifieke behoeften van de overheid optimaal te beantwoorden. </w:t>
      </w:r>
    </w:p>
    <w:p w14:paraId="60D1404B" w14:textId="07F9DCC8" w:rsidR="00C34D81" w:rsidRDefault="00C34D81" w:rsidP="00984DF3">
      <w:r>
        <w:rPr>
          <w:rStyle w:val="normaltextrun"/>
          <w:lang w:val="nl-NL"/>
        </w:rPr>
        <w:t>Procedures die innovatie extra kansen geven, komen immers ten goede aan kmo’s en starters, die vaak innovatieve producten en diensten aanbieden</w:t>
      </w:r>
      <w:r>
        <w:rPr>
          <w:rStyle w:val="eop"/>
        </w:rPr>
        <w:t xml:space="preserve">. Bovendien laten twee- of meerfasige procedures toe om, bij complexe opdrachten of bij opdrachten waar veel offertes </w:t>
      </w:r>
      <w:r w:rsidR="00B7154E">
        <w:rPr>
          <w:rStyle w:val="eop"/>
        </w:rPr>
        <w:t xml:space="preserve">– </w:t>
      </w:r>
      <w:r>
        <w:rPr>
          <w:rStyle w:val="eop"/>
        </w:rPr>
        <w:t xml:space="preserve">die een </w:t>
      </w:r>
      <w:r>
        <w:rPr>
          <w:rStyle w:val="eop"/>
        </w:rPr>
        <w:lastRenderedPageBreak/>
        <w:t>redelijke tijdsinvestering vragen</w:t>
      </w:r>
      <w:r w:rsidR="00B7154E">
        <w:rPr>
          <w:rStyle w:val="eop"/>
        </w:rPr>
        <w:t xml:space="preserve"> –</w:t>
      </w:r>
      <w:r>
        <w:rPr>
          <w:rStyle w:val="eop"/>
        </w:rPr>
        <w:t xml:space="preserve"> te verwachten zijn, efficiënter te werk te gaan en dat zowel voor de aanbesteder als de onderneming</w:t>
      </w:r>
      <w:r w:rsidR="00CB2A6E">
        <w:rPr>
          <w:rStyle w:val="eop"/>
        </w:rPr>
        <w:t>.</w:t>
      </w:r>
    </w:p>
    <w:p w14:paraId="77233A8D" w14:textId="77777777" w:rsidR="00437C23" w:rsidRDefault="00437C23">
      <w:pPr>
        <w:pStyle w:val="Kop2"/>
      </w:pPr>
      <w:bookmarkStart w:id="49" w:name="_Toc135839945"/>
      <w:bookmarkStart w:id="50" w:name="_Toc150870550"/>
      <w:r>
        <w:t>Wat zegt de reglementering overheidsopdrachten?</w:t>
      </w:r>
      <w:bookmarkEnd w:id="49"/>
      <w:bookmarkEnd w:id="50"/>
    </w:p>
    <w:p w14:paraId="75D22501" w14:textId="4E9AAF8F" w:rsidR="009C432F" w:rsidRPr="00013286" w:rsidRDefault="009C432F" w:rsidP="009C432F">
      <w:pPr>
        <w:pStyle w:val="paragraph"/>
        <w:spacing w:before="0" w:beforeAutospacing="0" w:after="0" w:afterAutospacing="0"/>
        <w:jc w:val="both"/>
        <w:textAlignment w:val="baseline"/>
        <w:rPr>
          <w:rStyle w:val="normaltextrun"/>
          <w:rFonts w:ascii="Lato" w:hAnsi="Lato" w:cs="Lao UI"/>
          <w:sz w:val="20"/>
          <w:szCs w:val="20"/>
          <w:lang w:val="nl-NL"/>
        </w:rPr>
      </w:pPr>
      <w:r w:rsidRPr="00013286">
        <w:rPr>
          <w:rStyle w:val="normaltextrun"/>
          <w:rFonts w:ascii="Lato" w:hAnsi="Lato" w:cs="Lao UI"/>
          <w:sz w:val="20"/>
          <w:szCs w:val="20"/>
          <w:lang w:val="nl-NL"/>
        </w:rPr>
        <w:t xml:space="preserve">De wet van </w:t>
      </w:r>
      <w:hyperlink r:id="rId68" w:history="1">
        <w:r w:rsidRPr="001A08B6">
          <w:rPr>
            <w:rStyle w:val="Hyperlink"/>
            <w:rFonts w:ascii="Lato" w:eastAsiaTheme="majorEastAsia" w:hAnsi="Lato"/>
            <w:sz w:val="20"/>
            <w:szCs w:val="20"/>
          </w:rPr>
          <w:t>17 juni 2016</w:t>
        </w:r>
      </w:hyperlink>
      <w:r w:rsidRPr="001A08B6">
        <w:rPr>
          <w:rStyle w:val="Hyperlink"/>
          <w:rFonts w:ascii="Lato" w:hAnsi="Lato"/>
          <w:sz w:val="20"/>
          <w:szCs w:val="20"/>
        </w:rPr>
        <w:t xml:space="preserve"> </w:t>
      </w:r>
      <w:r>
        <w:rPr>
          <w:rStyle w:val="normaltextrun"/>
          <w:rFonts w:ascii="Lato" w:hAnsi="Lato" w:cs="Lao UI"/>
          <w:sz w:val="20"/>
          <w:szCs w:val="20"/>
          <w:lang w:val="nl-NL"/>
        </w:rPr>
        <w:t>voorziet</w:t>
      </w:r>
      <w:r w:rsidRPr="00013286" w:rsidDel="00B53A65">
        <w:rPr>
          <w:rStyle w:val="normaltextrun"/>
          <w:rFonts w:ascii="Lato" w:hAnsi="Lato" w:cs="Lao UI"/>
          <w:sz w:val="20"/>
          <w:szCs w:val="20"/>
          <w:lang w:val="nl-NL"/>
        </w:rPr>
        <w:t xml:space="preserve"> </w:t>
      </w:r>
      <w:r w:rsidRPr="00013286">
        <w:rPr>
          <w:rStyle w:val="normaltextrun"/>
          <w:rFonts w:ascii="Lato" w:hAnsi="Lato" w:cs="Lao UI"/>
          <w:sz w:val="20"/>
          <w:szCs w:val="20"/>
          <w:lang w:val="nl-NL"/>
        </w:rPr>
        <w:t xml:space="preserve">volgende </w:t>
      </w:r>
      <w:r w:rsidRPr="009371BA">
        <w:rPr>
          <w:rStyle w:val="normaltextrun"/>
          <w:rFonts w:ascii="Lato" w:hAnsi="Lato" w:cs="Lao UI"/>
          <w:b/>
          <w:bCs/>
          <w:sz w:val="20"/>
          <w:szCs w:val="20"/>
          <w:lang w:val="nl-NL"/>
        </w:rPr>
        <w:t xml:space="preserve">twee- of </w:t>
      </w:r>
      <w:r w:rsidRPr="009371BA">
        <w:rPr>
          <w:rStyle w:val="normaltextrun"/>
          <w:rFonts w:ascii="Lato" w:hAnsi="Lato" w:cs="Lao UI"/>
          <w:b/>
          <w:sz w:val="20"/>
          <w:szCs w:val="20"/>
          <w:lang w:val="nl-NL"/>
        </w:rPr>
        <w:t xml:space="preserve">meerfasige plaatsingsprocedures, </w:t>
      </w:r>
      <w:r w:rsidRPr="00787C30">
        <w:rPr>
          <w:rStyle w:val="normaltextrun"/>
          <w:rFonts w:ascii="Lato" w:hAnsi="Lato" w:cs="Lao UI"/>
          <w:b/>
          <w:color w:val="0070C0"/>
          <w:sz w:val="20"/>
          <w:szCs w:val="20"/>
          <w:lang w:val="nl-NL"/>
        </w:rPr>
        <w:t xml:space="preserve">met </w:t>
      </w:r>
      <w:r w:rsidRPr="009371BA">
        <w:rPr>
          <w:rStyle w:val="normaltextrun"/>
          <w:rFonts w:ascii="Lato" w:hAnsi="Lato" w:cs="Lao UI"/>
          <w:b/>
          <w:sz w:val="20"/>
          <w:szCs w:val="20"/>
          <w:lang w:val="nl-NL"/>
        </w:rPr>
        <w:t>dialoog of onderhandeling</w:t>
      </w:r>
      <w:r w:rsidDel="00CC55C0">
        <w:rPr>
          <w:rStyle w:val="normaltextrun"/>
          <w:rFonts w:ascii="Lato" w:hAnsi="Lato" w:cs="Lao UI"/>
          <w:sz w:val="20"/>
          <w:szCs w:val="20"/>
          <w:lang w:val="nl-NL"/>
        </w:rPr>
        <w:t>:</w:t>
      </w:r>
    </w:p>
    <w:p w14:paraId="19E29CD0" w14:textId="63E1FF77" w:rsidR="009C432F" w:rsidRPr="00984DF3" w:rsidRDefault="009C432F">
      <w:pPr>
        <w:pStyle w:val="Bullet1"/>
        <w:rPr>
          <w:rStyle w:val="normaltextrun"/>
          <w:lang w:val="nl-BE"/>
        </w:rPr>
      </w:pPr>
      <w:r w:rsidRPr="00984DF3">
        <w:rPr>
          <w:rStyle w:val="normaltextrun"/>
          <w:i/>
          <w:iCs/>
          <w:lang w:val="nl-BE"/>
        </w:rPr>
        <w:t>de mededingingsprocedure met onderhandeling</w:t>
      </w:r>
      <w:r w:rsidRPr="00984DF3">
        <w:rPr>
          <w:rStyle w:val="normaltextrun"/>
          <w:lang w:val="nl-BE"/>
        </w:rPr>
        <w:t>: elke belangstellende ondernemer mag naar aanleiding van de aankondiging van een opdracht een aanvraag tot deelneming indienen, waarbij alleen de geselecteerde kandidaten een offerte mogen indienen en waarbij over de voorwaarden van de opdracht kan worden onderhandeld met de inschrijvers;</w:t>
      </w:r>
      <w:r w:rsidR="00984DF3" w:rsidRPr="00984DF3">
        <w:rPr>
          <w:rStyle w:val="normaltextrun"/>
          <w:lang w:val="nl-BE"/>
        </w:rPr>
        <w:t xml:space="preserve"> </w:t>
      </w:r>
    </w:p>
    <w:p w14:paraId="25A69E5F" w14:textId="3B7F342A" w:rsidR="009C432F" w:rsidRPr="00984DF3" w:rsidRDefault="009C432F">
      <w:pPr>
        <w:pStyle w:val="Bullet1"/>
        <w:rPr>
          <w:rStyle w:val="normaltextrun"/>
          <w:lang w:val="nl-BE"/>
        </w:rPr>
      </w:pPr>
      <w:r w:rsidRPr="00984DF3">
        <w:rPr>
          <w:rStyle w:val="normaltextrun"/>
          <w:i/>
          <w:iCs/>
          <w:lang w:val="nl-BE"/>
        </w:rPr>
        <w:t>de concurrentiegerichte dialoog</w:t>
      </w:r>
      <w:r w:rsidRPr="00984DF3">
        <w:rPr>
          <w:rStyle w:val="normaltextrun"/>
          <w:lang w:val="nl-BE"/>
        </w:rPr>
        <w:t>: elke belangstellende ondernemer mag naar aanleiding van de aankondiging van een opdracht een aanvraag tot deelneming indienen en de aanbesteder voert een dialoog met de voor die procedure geselecteerde kandidaten.</w:t>
      </w:r>
      <w:r w:rsidR="00984DF3" w:rsidRPr="00984DF3">
        <w:rPr>
          <w:rStyle w:val="normaltextrun"/>
          <w:lang w:val="nl-BE"/>
        </w:rPr>
        <w:t xml:space="preserve"> </w:t>
      </w:r>
      <w:r w:rsidRPr="00984DF3">
        <w:rPr>
          <w:rStyle w:val="normaltextrun"/>
          <w:lang w:val="nl-BE"/>
        </w:rPr>
        <w:t>Dat teneinde een of meer oplossingen uit te werken die aan de behoeften van de aanbesteder beantwoorden en op grond waarvan de deelnemers aan de dialoog wiens voorgestelde oplossing</w:t>
      </w:r>
      <w:r w:rsidR="0013483A">
        <w:rPr>
          <w:rStyle w:val="normaltextrun"/>
          <w:lang w:val="nl-BE"/>
        </w:rPr>
        <w:t>(en)</w:t>
      </w:r>
      <w:r w:rsidRPr="00984DF3">
        <w:rPr>
          <w:rStyle w:val="normaltextrun"/>
          <w:lang w:val="nl-BE"/>
        </w:rPr>
        <w:t xml:space="preserve"> in aanmerking genomen werden, na afloop van die dialoog uitgenodigd </w:t>
      </w:r>
      <w:r w:rsidR="00D72F7B" w:rsidRPr="00984DF3">
        <w:rPr>
          <w:rStyle w:val="normaltextrun"/>
          <w:lang w:val="nl-BE"/>
        </w:rPr>
        <w:t xml:space="preserve">worden </w:t>
      </w:r>
      <w:r w:rsidRPr="00984DF3">
        <w:rPr>
          <w:rStyle w:val="normaltextrun"/>
          <w:lang w:val="nl-BE"/>
        </w:rPr>
        <w:t>om een offerte in te dienen;</w:t>
      </w:r>
      <w:r w:rsidR="00984DF3" w:rsidRPr="00984DF3">
        <w:rPr>
          <w:rStyle w:val="normaltextrun"/>
          <w:lang w:val="nl-BE"/>
        </w:rPr>
        <w:t xml:space="preserve"> </w:t>
      </w:r>
      <w:r w:rsidRPr="00984DF3">
        <w:rPr>
          <w:rStyle w:val="normaltextrun"/>
          <w:lang w:val="nl-BE"/>
        </w:rPr>
        <w:t> </w:t>
      </w:r>
    </w:p>
    <w:p w14:paraId="1E601C60" w14:textId="6603CE86" w:rsidR="001A08B6" w:rsidRPr="00984DF3" w:rsidRDefault="009C432F">
      <w:pPr>
        <w:pStyle w:val="Bullet1"/>
        <w:rPr>
          <w:rStyle w:val="normaltextrun"/>
          <w:lang w:val="nl-BE"/>
        </w:rPr>
      </w:pPr>
      <w:r w:rsidRPr="00984DF3">
        <w:rPr>
          <w:rStyle w:val="normaltextrun"/>
          <w:i/>
          <w:iCs/>
          <w:lang w:val="nl-BE"/>
        </w:rPr>
        <w:t>het innovatiepartnerschap</w:t>
      </w:r>
      <w:r w:rsidRPr="00984DF3">
        <w:rPr>
          <w:rStyle w:val="normaltextrun"/>
          <w:lang w:val="nl-BE"/>
        </w:rPr>
        <w:t xml:space="preserve">: de procedure waarbij de </w:t>
      </w:r>
      <w:r w:rsidR="00AE1F05">
        <w:rPr>
          <w:rStyle w:val="normaltextrun"/>
          <w:lang w:val="nl-BE"/>
        </w:rPr>
        <w:t>aanbesteder</w:t>
      </w:r>
      <w:r w:rsidRPr="00984DF3">
        <w:rPr>
          <w:rStyle w:val="normaltextrun"/>
          <w:lang w:val="nl-BE"/>
        </w:rPr>
        <w:t xml:space="preserve"> aangeeft dat er een behoefte is aan innovatieve producten, diensten of werken, en dat met de aanschaf van reeds op de markt beschikbare producten, diensten of werken niet in die behoefte kan worden voorzien. </w:t>
      </w:r>
      <w:r w:rsidR="00984DF3" w:rsidRPr="00984DF3">
        <w:rPr>
          <w:rStyle w:val="normaltextrun"/>
          <w:lang w:val="nl-BE"/>
        </w:rPr>
        <w:t xml:space="preserve"> </w:t>
      </w:r>
    </w:p>
    <w:p w14:paraId="1334971D" w14:textId="6F86A34C" w:rsidR="009C432F" w:rsidRDefault="009C432F" w:rsidP="00E8282D">
      <w:pPr>
        <w:rPr>
          <w:rStyle w:val="normaltextrun"/>
          <w:lang w:val="nl-NL"/>
        </w:rPr>
      </w:pPr>
      <w:r>
        <w:rPr>
          <w:rStyle w:val="normaltextrun"/>
          <w:lang w:val="nl-NL"/>
        </w:rPr>
        <w:t>Daarnaast voo</w:t>
      </w:r>
      <w:r w:rsidRPr="00427309">
        <w:rPr>
          <w:rStyle w:val="normaltextrun"/>
          <w:lang w:val="nl-NL"/>
        </w:rPr>
        <w:t xml:space="preserve">rziet de wet </w:t>
      </w:r>
      <w:r w:rsidR="008202F9">
        <w:rPr>
          <w:rStyle w:val="normaltextrun"/>
          <w:lang w:val="nl-NL"/>
        </w:rPr>
        <w:t>een</w:t>
      </w:r>
      <w:r w:rsidR="008202F9" w:rsidRPr="00427309">
        <w:rPr>
          <w:rStyle w:val="normaltextrun"/>
          <w:lang w:val="nl-NL"/>
        </w:rPr>
        <w:t xml:space="preserve"> </w:t>
      </w:r>
      <w:r w:rsidRPr="009371BA">
        <w:rPr>
          <w:rStyle w:val="normaltextrun"/>
          <w:b/>
          <w:bCs/>
          <w:lang w:val="nl-NL"/>
        </w:rPr>
        <w:t xml:space="preserve">tweefasige plaatsingsprocedure </w:t>
      </w:r>
      <w:r w:rsidRPr="00787C30">
        <w:rPr>
          <w:rStyle w:val="normaltextrun"/>
          <w:b/>
          <w:bCs/>
          <w:color w:val="0070C0"/>
          <w:lang w:val="nl-NL"/>
        </w:rPr>
        <w:t xml:space="preserve">zonder </w:t>
      </w:r>
      <w:r w:rsidRPr="009371BA">
        <w:rPr>
          <w:rStyle w:val="normaltextrun"/>
          <w:b/>
          <w:bCs/>
          <w:lang w:val="nl-NL"/>
        </w:rPr>
        <w:t>onderhandeling</w:t>
      </w:r>
      <w:r w:rsidR="008202F9">
        <w:rPr>
          <w:rStyle w:val="normaltextrun"/>
          <w:lang w:val="nl-NL"/>
        </w:rPr>
        <w:t>, namelijk</w:t>
      </w:r>
      <w:r w:rsidRPr="00427309">
        <w:rPr>
          <w:rStyle w:val="normaltextrun"/>
          <w:lang w:val="nl-NL"/>
        </w:rPr>
        <w:t> </w:t>
      </w:r>
      <w:r>
        <w:rPr>
          <w:rStyle w:val="normaltextrun"/>
          <w:lang w:val="nl-NL"/>
        </w:rPr>
        <w:t xml:space="preserve">de </w:t>
      </w:r>
      <w:r w:rsidRPr="00CB2A6E">
        <w:rPr>
          <w:rStyle w:val="normaltextrun"/>
          <w:i/>
          <w:iCs/>
          <w:lang w:val="nl-NL"/>
        </w:rPr>
        <w:t>niet-openbare procedure</w:t>
      </w:r>
      <w:r>
        <w:rPr>
          <w:rStyle w:val="normaltextrun"/>
          <w:lang w:val="nl-NL"/>
        </w:rPr>
        <w:t xml:space="preserve">. </w:t>
      </w:r>
      <w:r w:rsidRPr="00427309">
        <w:rPr>
          <w:rStyle w:val="normaltextrun"/>
          <w:lang w:val="nl-NL"/>
        </w:rPr>
        <w:t xml:space="preserve">In een </w:t>
      </w:r>
      <w:r w:rsidRPr="00EC4EB8">
        <w:rPr>
          <w:rStyle w:val="normaltextrun"/>
          <w:lang w:val="nl-NL"/>
        </w:rPr>
        <w:t>niet-openbare procedure</w:t>
      </w:r>
      <w:r w:rsidRPr="00427309">
        <w:rPr>
          <w:rStyle w:val="normaltextrun"/>
          <w:lang w:val="nl-NL"/>
        </w:rPr>
        <w:t xml:space="preserve"> kan elke ondernemer naar aanleiding van </w:t>
      </w:r>
      <w:r>
        <w:rPr>
          <w:rStyle w:val="normaltextrun"/>
          <w:lang w:val="nl-NL"/>
        </w:rPr>
        <w:t>de</w:t>
      </w:r>
      <w:r w:rsidRPr="00427309">
        <w:rPr>
          <w:rStyle w:val="normaltextrun"/>
          <w:lang w:val="nl-NL"/>
        </w:rPr>
        <w:t xml:space="preserve"> aankondiging van een opdracht een aanvraag tot deelneming indienen. Alleen de ondernemers die na beoordeling van de verstrekte informatie door de </w:t>
      </w:r>
      <w:r w:rsidR="00996A59">
        <w:rPr>
          <w:rStyle w:val="normaltextrun"/>
          <w:lang w:val="nl-NL"/>
        </w:rPr>
        <w:t>aanbesteder</w:t>
      </w:r>
      <w:r w:rsidRPr="00427309">
        <w:rPr>
          <w:rStyle w:val="normaltextrun"/>
          <w:lang w:val="nl-NL"/>
        </w:rPr>
        <w:t xml:space="preserve"> daartoe worden verzocht, kunnen een offerte indienen. </w:t>
      </w:r>
    </w:p>
    <w:p w14:paraId="0EB5DDCA" w14:textId="0357B1CE" w:rsidR="00E8282D" w:rsidRDefault="00E8282D" w:rsidP="00647FE1">
      <w:pPr>
        <w:rPr>
          <w:rStyle w:val="normaltextrun"/>
        </w:rPr>
      </w:pPr>
      <w:r w:rsidRPr="0039313C">
        <w:rPr>
          <w:rStyle w:val="normaltextrun"/>
        </w:rPr>
        <w:t xml:space="preserve">Bij niet-openbare procedures, </w:t>
      </w:r>
      <w:r w:rsidR="00996A59" w:rsidRPr="0039313C">
        <w:rPr>
          <w:rStyle w:val="normaltextrun"/>
        </w:rPr>
        <w:t>concurrentiegerichte dialogen</w:t>
      </w:r>
      <w:r w:rsidR="00996A59">
        <w:rPr>
          <w:rStyle w:val="normaltextrun"/>
        </w:rPr>
        <w:t>,</w:t>
      </w:r>
      <w:r w:rsidR="00996A59" w:rsidRPr="0039313C">
        <w:rPr>
          <w:rStyle w:val="normaltextrun"/>
        </w:rPr>
        <w:t xml:space="preserve"> </w:t>
      </w:r>
      <w:r w:rsidRPr="0039313C">
        <w:rPr>
          <w:rStyle w:val="normaltextrun"/>
        </w:rPr>
        <w:t xml:space="preserve">mededingingsprocedures met onderhandeling en innovatiepartnerschappen kan de </w:t>
      </w:r>
      <w:r>
        <w:rPr>
          <w:rStyle w:val="normaltextrun"/>
        </w:rPr>
        <w:t>aanbesteder</w:t>
      </w:r>
      <w:r w:rsidRPr="0039313C">
        <w:rPr>
          <w:rStyle w:val="normaltextrun"/>
        </w:rPr>
        <w:t xml:space="preserve"> het aantal aan de selectiecriteria beantwoordende kandidaten die zij tot indiening van een offerte of tot een dialoog zal uitnodigen, beperken</w:t>
      </w:r>
      <w:r>
        <w:rPr>
          <w:rStyle w:val="normaltextrun"/>
        </w:rPr>
        <w:t xml:space="preserve">. Op </w:t>
      </w:r>
      <w:r w:rsidRPr="0039313C">
        <w:rPr>
          <w:rStyle w:val="normaltextrun"/>
        </w:rPr>
        <w:t xml:space="preserve">voorwaarde dat </w:t>
      </w:r>
      <w:r>
        <w:rPr>
          <w:rStyle w:val="normaltextrun"/>
        </w:rPr>
        <w:t xml:space="preserve">een </w:t>
      </w:r>
      <w:r w:rsidRPr="0039313C">
        <w:rPr>
          <w:rStyle w:val="normaltextrun"/>
        </w:rPr>
        <w:t>minimumaantal gekwalificeerde kandidaten voorhanden is</w:t>
      </w:r>
      <w:r>
        <w:rPr>
          <w:rStyle w:val="normaltextrun"/>
        </w:rPr>
        <w:t xml:space="preserve">, kan </w:t>
      </w:r>
      <w:r w:rsidR="00802FB6">
        <w:rPr>
          <w:rStyle w:val="normaltextrun"/>
        </w:rPr>
        <w:t xml:space="preserve">de aanbesteder </w:t>
      </w:r>
      <w:r>
        <w:rPr>
          <w:rStyle w:val="normaltextrun"/>
        </w:rPr>
        <w:t xml:space="preserve">het aantal kandidaten beperken tot respectievelijk vijf voor de niet-openbare procedure en drie voor de andere drie procedures. </w:t>
      </w:r>
    </w:p>
    <w:p w14:paraId="720A4A2C" w14:textId="30A05510" w:rsidR="00E8282D" w:rsidRPr="0039313C" w:rsidRDefault="00E8282D" w:rsidP="00E8282D">
      <w:pPr>
        <w:rPr>
          <w:rStyle w:val="normaltextrun"/>
        </w:rPr>
      </w:pPr>
      <w:r w:rsidRPr="00523EB2">
        <w:rPr>
          <w:rStyle w:val="normaltextrun"/>
        </w:rPr>
        <w:t>Het aantal uitgenodigde kandidaten moet in elk geval volstaan om daadwerkelijke mededinging te waarborgen.</w:t>
      </w:r>
      <w:r>
        <w:rPr>
          <w:rStyle w:val="normaltextrun"/>
        </w:rPr>
        <w:t xml:space="preserve"> </w:t>
      </w:r>
      <w:r w:rsidRPr="00523EB2">
        <w:rPr>
          <w:rStyle w:val="normaltextrun"/>
        </w:rPr>
        <w:t xml:space="preserve">De </w:t>
      </w:r>
      <w:r w:rsidR="002679C7">
        <w:rPr>
          <w:rStyle w:val="normaltextrun"/>
        </w:rPr>
        <w:t>aanbesteder</w:t>
      </w:r>
      <w:r w:rsidRPr="00523EB2">
        <w:rPr>
          <w:rStyle w:val="normaltextrun"/>
        </w:rPr>
        <w:t xml:space="preserve"> nodigt een aantal kandidaten uit dat ten minste gelijk is aan het vereiste minimumaantal. Wanneer het aantal kandidaten dat aan de selectiecriteria en de minimumvoorschriften inzake bekwaamheid voldoet, echter lager is dan het door de </w:t>
      </w:r>
      <w:r>
        <w:rPr>
          <w:rStyle w:val="normaltextrun"/>
        </w:rPr>
        <w:t>aanbesteder</w:t>
      </w:r>
      <w:r w:rsidRPr="00523EB2">
        <w:rPr>
          <w:rStyle w:val="normaltextrun"/>
        </w:rPr>
        <w:t xml:space="preserve"> vastgestelde minimumaantal, kan d</w:t>
      </w:r>
      <w:r w:rsidR="002679C7">
        <w:rPr>
          <w:rStyle w:val="normaltextrun"/>
        </w:rPr>
        <w:t>ie</w:t>
      </w:r>
      <w:r w:rsidRPr="00523EB2">
        <w:rPr>
          <w:rStyle w:val="normaltextrun"/>
        </w:rPr>
        <w:t xml:space="preserve"> </w:t>
      </w:r>
      <w:r>
        <w:rPr>
          <w:rStyle w:val="normaltextrun"/>
        </w:rPr>
        <w:t>aanbesteder</w:t>
      </w:r>
      <w:r w:rsidRPr="00523EB2">
        <w:rPr>
          <w:rStyle w:val="normaltextrun"/>
        </w:rPr>
        <w:t xml:space="preserve"> de procedure voortzetten door de kandidaten met de vereiste bekwaamheden uit te nodigen. De </w:t>
      </w:r>
      <w:r w:rsidR="0078077C">
        <w:rPr>
          <w:rStyle w:val="normaltextrun"/>
        </w:rPr>
        <w:t>aanbesteder</w:t>
      </w:r>
      <w:r w:rsidRPr="00523EB2">
        <w:rPr>
          <w:rStyle w:val="normaltextrun"/>
        </w:rPr>
        <w:t xml:space="preserve"> kan tot dezelfde procedure geen ondernemers toelaten die niet om deelneming hebben verzocht, of kandidaten die niet over de vereiste bekwaamheden beschikken.</w:t>
      </w:r>
    </w:p>
    <w:p w14:paraId="322D988C" w14:textId="19C9A9C2" w:rsidR="00E8282D" w:rsidRDefault="00E8282D" w:rsidP="00E8282D">
      <w:pPr>
        <w:rPr>
          <w:rStyle w:val="normaltextrun"/>
          <w:lang w:val="nl-NL"/>
        </w:rPr>
      </w:pPr>
      <w:r>
        <w:rPr>
          <w:rStyle w:val="normaltextrun"/>
          <w:lang w:val="nl-NL"/>
        </w:rPr>
        <w:t xml:space="preserve">Tot slot voorziet de wet nog </w:t>
      </w:r>
      <w:r w:rsidRPr="00EB1120">
        <w:rPr>
          <w:rStyle w:val="normaltextrun"/>
          <w:b/>
          <w:lang w:val="nl-NL"/>
        </w:rPr>
        <w:t xml:space="preserve">plaatsingsprocedures in </w:t>
      </w:r>
      <w:r w:rsidRPr="00EB1120">
        <w:rPr>
          <w:rStyle w:val="normaltextrun"/>
          <w:b/>
          <w:bCs/>
          <w:lang w:val="nl-NL"/>
        </w:rPr>
        <w:t>één</w:t>
      </w:r>
      <w:r w:rsidRPr="00EB1120">
        <w:rPr>
          <w:rStyle w:val="normaltextrun"/>
          <w:b/>
          <w:lang w:val="nl-NL"/>
        </w:rPr>
        <w:t xml:space="preserve"> fase met </w:t>
      </w:r>
      <w:r w:rsidRPr="00EB1120">
        <w:rPr>
          <w:rStyle w:val="normaltextrun"/>
          <w:b/>
          <w:bCs/>
          <w:lang w:val="nl-NL"/>
        </w:rPr>
        <w:t>onderhandeling</w:t>
      </w:r>
      <w:r>
        <w:rPr>
          <w:rStyle w:val="normaltextrun"/>
          <w:lang w:val="nl-NL"/>
        </w:rPr>
        <w:t>, namelijk de</w:t>
      </w:r>
      <w:r w:rsidRPr="00427309">
        <w:rPr>
          <w:rStyle w:val="normaltextrun"/>
          <w:lang w:val="nl-NL"/>
        </w:rPr>
        <w:t xml:space="preserve"> </w:t>
      </w:r>
      <w:r w:rsidRPr="001D0EC7">
        <w:rPr>
          <w:rStyle w:val="normaltextrun"/>
          <w:i/>
          <w:iCs/>
          <w:lang w:val="nl-NL"/>
        </w:rPr>
        <w:t>vereenvoudigde onderhandelingsprocedure met voorafgaande bekendmaking</w:t>
      </w:r>
      <w:r>
        <w:rPr>
          <w:rStyle w:val="normaltextrun"/>
          <w:lang w:val="nl-NL"/>
        </w:rPr>
        <w:t xml:space="preserve"> (VOPMB)</w:t>
      </w:r>
      <w:r w:rsidRPr="00427309">
        <w:rPr>
          <w:rStyle w:val="normaltextrun"/>
          <w:lang w:val="nl-NL"/>
        </w:rPr>
        <w:t xml:space="preserve"> en </w:t>
      </w:r>
      <w:r>
        <w:rPr>
          <w:rStyle w:val="normaltextrun"/>
          <w:lang w:val="nl-NL"/>
        </w:rPr>
        <w:t xml:space="preserve">de </w:t>
      </w:r>
      <w:r w:rsidRPr="001D0EC7">
        <w:rPr>
          <w:rStyle w:val="normaltextrun"/>
          <w:i/>
          <w:iCs/>
          <w:lang w:val="nl-NL"/>
        </w:rPr>
        <w:t>onderhandelingsprocedure zonder voorafgaande bekendmaking</w:t>
      </w:r>
      <w:r>
        <w:rPr>
          <w:rStyle w:val="normaltextrun"/>
          <w:lang w:val="nl-NL"/>
        </w:rPr>
        <w:t xml:space="preserve"> (OPZB)</w:t>
      </w:r>
      <w:r w:rsidRPr="00427309">
        <w:rPr>
          <w:rStyle w:val="normaltextrun"/>
          <w:lang w:val="nl-NL"/>
        </w:rPr>
        <w:t>.</w:t>
      </w:r>
      <w:r>
        <w:rPr>
          <w:rStyle w:val="normaltextrun"/>
          <w:lang w:val="nl-NL"/>
        </w:rPr>
        <w:t xml:space="preserve"> </w:t>
      </w:r>
    </w:p>
    <w:p w14:paraId="72B76327" w14:textId="35161E83" w:rsidR="00E8282D" w:rsidRDefault="00E8282D" w:rsidP="00E8282D">
      <w:pPr>
        <w:rPr>
          <w:rStyle w:val="normaltextrun"/>
          <w:lang w:val="nl-NL"/>
        </w:rPr>
      </w:pPr>
      <w:r>
        <w:rPr>
          <w:rStyle w:val="normaltextrun"/>
          <w:lang w:val="nl-NL"/>
        </w:rPr>
        <w:t>De OPZB is één van de meest gekende en gebruikte procedures, deze komt aan bod in andere principes</w:t>
      </w:r>
      <w:r w:rsidR="00BF21C1">
        <w:rPr>
          <w:rStyle w:val="normaltextrun"/>
          <w:lang w:val="nl-NL"/>
        </w:rPr>
        <w:t xml:space="preserve"> – zie onder meer </w:t>
      </w:r>
      <w:r w:rsidR="00BF21C1" w:rsidRPr="001A18AD">
        <w:rPr>
          <w:rStyle w:val="normaltextrun"/>
          <w:lang w:val="nl-NL"/>
        </w:rPr>
        <w:t>principe 10 –</w:t>
      </w:r>
      <w:r>
        <w:rPr>
          <w:rStyle w:val="normaltextrun"/>
          <w:lang w:val="nl-NL"/>
        </w:rPr>
        <w:t xml:space="preserve"> en wordt hier dus niet verder toegelicht. </w:t>
      </w:r>
    </w:p>
    <w:p w14:paraId="3EE9DE93" w14:textId="73C7A1EA" w:rsidR="00504F04" w:rsidRPr="009C432F" w:rsidRDefault="00E8282D" w:rsidP="00437C23">
      <w:pPr>
        <w:rPr>
          <w:lang w:val="nl-NL"/>
        </w:rPr>
      </w:pPr>
      <w:r>
        <w:rPr>
          <w:rStyle w:val="normaltextrun"/>
          <w:lang w:val="nl-NL"/>
        </w:rPr>
        <w:t>De VOPMB is een procedure in een fase</w:t>
      </w:r>
      <w:r w:rsidRPr="00DB38E9">
        <w:rPr>
          <w:rStyle w:val="normaltextrun"/>
          <w:lang w:val="nl-NL"/>
        </w:rPr>
        <w:t xml:space="preserve"> waarbij elke belangstellende ondernemer naar aanleiding van </w:t>
      </w:r>
      <w:r>
        <w:rPr>
          <w:rStyle w:val="normaltextrun"/>
          <w:lang w:val="nl-NL"/>
        </w:rPr>
        <w:t>de</w:t>
      </w:r>
      <w:r w:rsidRPr="00DB38E9">
        <w:rPr>
          <w:rStyle w:val="normaltextrun"/>
          <w:lang w:val="nl-NL"/>
        </w:rPr>
        <w:t xml:space="preserve"> aankondiging van een opdracht een offerte mag indienen en waarbij de aanbesteder met een of meer van hen over de voorwaarden van de opdracht kan onderhandelen</w:t>
      </w:r>
      <w:r>
        <w:rPr>
          <w:rStyle w:val="normaltextrun"/>
          <w:lang w:val="nl-NL"/>
        </w:rPr>
        <w:t>. D</w:t>
      </w:r>
      <w:r w:rsidRPr="00DB38E9">
        <w:rPr>
          <w:rStyle w:val="normaltextrun"/>
          <w:lang w:val="nl-NL"/>
        </w:rPr>
        <w:t xml:space="preserve">e </w:t>
      </w:r>
      <w:r>
        <w:rPr>
          <w:rStyle w:val="normaltextrun"/>
          <w:lang w:val="nl-NL"/>
        </w:rPr>
        <w:t>VOPMB</w:t>
      </w:r>
      <w:r w:rsidRPr="00DB38E9">
        <w:rPr>
          <w:rStyle w:val="normaltextrun"/>
          <w:lang w:val="nl-NL"/>
        </w:rPr>
        <w:t xml:space="preserve"> </w:t>
      </w:r>
      <w:r>
        <w:rPr>
          <w:rStyle w:val="normaltextrun"/>
          <w:lang w:val="nl-NL"/>
        </w:rPr>
        <w:t>wordt dus gekenmerkt door d</w:t>
      </w:r>
      <w:r w:rsidR="003E4407">
        <w:rPr>
          <w:rStyle w:val="normaltextrun"/>
          <w:lang w:val="nl-NL"/>
        </w:rPr>
        <w:t>i</w:t>
      </w:r>
      <w:r>
        <w:rPr>
          <w:rStyle w:val="normaltextrun"/>
          <w:lang w:val="nl-NL"/>
        </w:rPr>
        <w:t>e mogelijkheid voor</w:t>
      </w:r>
      <w:r w:rsidRPr="00DB38E9">
        <w:rPr>
          <w:rStyle w:val="normaltextrun"/>
          <w:lang w:val="nl-NL"/>
        </w:rPr>
        <w:t xml:space="preserve"> de aanbesteder </w:t>
      </w:r>
      <w:r>
        <w:rPr>
          <w:rStyle w:val="normaltextrun"/>
          <w:lang w:val="nl-NL"/>
        </w:rPr>
        <w:t>om te</w:t>
      </w:r>
      <w:r w:rsidRPr="00DB38E9">
        <w:rPr>
          <w:rStyle w:val="normaltextrun"/>
          <w:lang w:val="nl-NL"/>
        </w:rPr>
        <w:t xml:space="preserve"> onderhandelen met één of meerdere inschrijvers.</w:t>
      </w:r>
      <w:r>
        <w:rPr>
          <w:rStyle w:val="normaltextrun"/>
          <w:lang w:val="nl-NL"/>
        </w:rPr>
        <w:t xml:space="preserve"> </w:t>
      </w:r>
      <w:r w:rsidRPr="00DB38E9">
        <w:rPr>
          <w:rStyle w:val="normaltextrun"/>
          <w:lang w:val="nl-NL"/>
        </w:rPr>
        <w:t xml:space="preserve">De </w:t>
      </w:r>
      <w:r>
        <w:rPr>
          <w:rStyle w:val="normaltextrun"/>
          <w:lang w:val="nl-NL"/>
        </w:rPr>
        <w:t>VOPMB</w:t>
      </w:r>
      <w:r w:rsidRPr="00DB38E9">
        <w:rPr>
          <w:rStyle w:val="normaltextrun"/>
          <w:lang w:val="nl-NL"/>
        </w:rPr>
        <w:t xml:space="preserve"> </w:t>
      </w:r>
      <w:r>
        <w:rPr>
          <w:rStyle w:val="normaltextrun"/>
          <w:lang w:val="nl-NL"/>
        </w:rPr>
        <w:t>kent volgend toepassingsgebied</w:t>
      </w:r>
      <w:r w:rsidRPr="00DB38E9">
        <w:rPr>
          <w:rStyle w:val="normaltextrun"/>
          <w:lang w:val="nl-NL"/>
        </w:rPr>
        <w:t>:</w:t>
      </w:r>
      <w:r>
        <w:rPr>
          <w:rStyle w:val="normaltextrun"/>
          <w:lang w:val="nl-NL"/>
        </w:rPr>
        <w:t xml:space="preserve"> werken met een geraamde waarde lager dan 750.000 euro en diensten en leveringen met een geraamde waarde onder de Europese bekendmakingsdrempels.</w:t>
      </w:r>
    </w:p>
    <w:p w14:paraId="5B0BC119" w14:textId="77777777" w:rsidR="00437C23" w:rsidRDefault="00437C23">
      <w:pPr>
        <w:pStyle w:val="Kop2"/>
      </w:pPr>
      <w:bookmarkStart w:id="51" w:name="_Toc135839946"/>
      <w:bookmarkStart w:id="52" w:name="_Toc150870551"/>
      <w:r>
        <w:lastRenderedPageBreak/>
        <w:t>Toelichting</w:t>
      </w:r>
      <w:bookmarkEnd w:id="51"/>
      <w:bookmarkEnd w:id="52"/>
    </w:p>
    <w:p w14:paraId="2617C7A5" w14:textId="4EECE174" w:rsidR="003B6F92" w:rsidRDefault="00B84614" w:rsidP="00B84614">
      <w:pPr>
        <w:pStyle w:val="paragraph"/>
        <w:spacing w:before="0" w:beforeAutospacing="0" w:after="0" w:afterAutospacing="0"/>
        <w:jc w:val="both"/>
        <w:textAlignment w:val="baseline"/>
        <w:rPr>
          <w:rStyle w:val="normaltextrun"/>
          <w:rFonts w:ascii="Lato" w:hAnsi="Lato"/>
          <w:sz w:val="20"/>
          <w:szCs w:val="20"/>
          <w:lang w:val="nl-NL"/>
        </w:rPr>
      </w:pPr>
      <w:r>
        <w:rPr>
          <w:rStyle w:val="normaltextrun"/>
          <w:rFonts w:ascii="Lato" w:hAnsi="Lato"/>
          <w:sz w:val="20"/>
          <w:szCs w:val="20"/>
          <w:lang w:val="nl-NL"/>
        </w:rPr>
        <w:t xml:space="preserve">Bij eenfasige procedures moeten </w:t>
      </w:r>
      <w:r w:rsidRPr="00A541D8">
        <w:rPr>
          <w:rStyle w:val="normaltextrun"/>
          <w:rFonts w:ascii="Lato" w:hAnsi="Lato"/>
          <w:sz w:val="20"/>
          <w:szCs w:val="20"/>
          <w:lang w:val="nl-NL"/>
        </w:rPr>
        <w:t>alle k</w:t>
      </w:r>
      <w:r>
        <w:rPr>
          <w:rStyle w:val="normaltextrun"/>
          <w:rFonts w:ascii="Lato" w:hAnsi="Lato"/>
          <w:sz w:val="20"/>
          <w:szCs w:val="20"/>
          <w:lang w:val="nl-NL"/>
        </w:rPr>
        <w:t>andidaat-ondernemingen</w:t>
      </w:r>
      <w:r w:rsidRPr="00A541D8">
        <w:rPr>
          <w:rStyle w:val="normaltextrun"/>
          <w:rFonts w:ascii="Lato" w:hAnsi="Lato"/>
          <w:sz w:val="20"/>
          <w:szCs w:val="20"/>
          <w:lang w:val="nl-NL"/>
        </w:rPr>
        <w:t xml:space="preserve"> alle voorbereidende werken in één keer </w:t>
      </w:r>
      <w:r>
        <w:rPr>
          <w:rStyle w:val="normaltextrun"/>
          <w:rFonts w:ascii="Lato" w:hAnsi="Lato"/>
          <w:sz w:val="20"/>
          <w:szCs w:val="20"/>
          <w:lang w:val="nl-NL"/>
        </w:rPr>
        <w:t>treffen</w:t>
      </w:r>
      <w:r w:rsidRPr="00A541D8">
        <w:rPr>
          <w:rStyle w:val="normaltextrun"/>
          <w:rFonts w:ascii="Lato" w:hAnsi="Lato"/>
          <w:sz w:val="20"/>
          <w:szCs w:val="20"/>
          <w:lang w:val="nl-NL"/>
        </w:rPr>
        <w:t xml:space="preserve">. Er wordt immers </w:t>
      </w:r>
      <w:r>
        <w:rPr>
          <w:rStyle w:val="normaltextrun"/>
          <w:rFonts w:ascii="Lato" w:hAnsi="Lato"/>
          <w:sz w:val="20"/>
          <w:szCs w:val="20"/>
          <w:lang w:val="nl-NL"/>
        </w:rPr>
        <w:t xml:space="preserve">onmiddellijk </w:t>
      </w:r>
      <w:r w:rsidRPr="00A541D8">
        <w:rPr>
          <w:rStyle w:val="normaltextrun"/>
          <w:rFonts w:ascii="Lato" w:hAnsi="Lato"/>
          <w:sz w:val="20"/>
          <w:szCs w:val="20"/>
          <w:lang w:val="nl-NL"/>
        </w:rPr>
        <w:t>zowel geselecteerd als gegund</w:t>
      </w:r>
      <w:r>
        <w:rPr>
          <w:rStyle w:val="normaltextrun"/>
          <w:rFonts w:ascii="Lato" w:hAnsi="Lato"/>
          <w:sz w:val="20"/>
          <w:szCs w:val="20"/>
          <w:lang w:val="nl-NL"/>
        </w:rPr>
        <w:t xml:space="preserve"> door de aanbesteder</w:t>
      </w:r>
      <w:r w:rsidRPr="00A541D8">
        <w:rPr>
          <w:rStyle w:val="normaltextrun"/>
          <w:rFonts w:ascii="Lato" w:hAnsi="Lato"/>
          <w:sz w:val="20"/>
          <w:szCs w:val="20"/>
          <w:lang w:val="nl-NL"/>
        </w:rPr>
        <w:t xml:space="preserve">, dus alle </w:t>
      </w:r>
      <w:r w:rsidR="004C5A25">
        <w:rPr>
          <w:rStyle w:val="normaltextrun"/>
          <w:rFonts w:ascii="Lato" w:hAnsi="Lato"/>
          <w:sz w:val="20"/>
          <w:szCs w:val="20"/>
          <w:lang w:val="nl-NL"/>
        </w:rPr>
        <w:t>geïnteresseerden</w:t>
      </w:r>
      <w:r w:rsidR="004C5A25" w:rsidRPr="00A541D8">
        <w:rPr>
          <w:rStyle w:val="normaltextrun"/>
          <w:rFonts w:ascii="Lato" w:hAnsi="Lato"/>
          <w:sz w:val="20"/>
          <w:szCs w:val="20"/>
          <w:lang w:val="nl-NL"/>
        </w:rPr>
        <w:t xml:space="preserve"> </w:t>
      </w:r>
      <w:r w:rsidRPr="00A541D8">
        <w:rPr>
          <w:rStyle w:val="normaltextrun"/>
          <w:rFonts w:ascii="Lato" w:hAnsi="Lato"/>
          <w:sz w:val="20"/>
          <w:szCs w:val="20"/>
          <w:lang w:val="nl-NL"/>
        </w:rPr>
        <w:t>moeten een volledige offerte – inclusief alle vereisten zoals bijvoorbeeld bepaalde ontwerpen – reeds uitwerken zonder dat ze weten of ze überhaupt in aanmerking komen voor de opdracht.</w:t>
      </w:r>
      <w:r w:rsidR="00A60572">
        <w:rPr>
          <w:rStyle w:val="normaltextrun"/>
          <w:rFonts w:ascii="Lato" w:hAnsi="Lato"/>
          <w:sz w:val="20"/>
          <w:szCs w:val="20"/>
          <w:lang w:val="nl-NL"/>
        </w:rPr>
        <w:t xml:space="preserve"> </w:t>
      </w:r>
      <w:r w:rsidR="00951EA2">
        <w:rPr>
          <w:rStyle w:val="normaltextrun"/>
          <w:rFonts w:ascii="Lato" w:hAnsi="Lato"/>
          <w:sz w:val="20"/>
          <w:szCs w:val="20"/>
          <w:lang w:val="nl-NL"/>
        </w:rPr>
        <w:t>M</w:t>
      </w:r>
      <w:r w:rsidR="004E1D4C">
        <w:rPr>
          <w:rStyle w:val="normaltextrun"/>
          <w:rFonts w:ascii="Lato" w:hAnsi="Lato"/>
          <w:sz w:val="20"/>
          <w:szCs w:val="20"/>
          <w:lang w:val="nl-NL"/>
        </w:rPr>
        <w:t>eerfasige procedures</w:t>
      </w:r>
      <w:r w:rsidR="00951EA2">
        <w:rPr>
          <w:rStyle w:val="normaltextrun"/>
          <w:rFonts w:ascii="Lato" w:hAnsi="Lato"/>
          <w:sz w:val="20"/>
          <w:szCs w:val="20"/>
          <w:lang w:val="nl-NL"/>
        </w:rPr>
        <w:t xml:space="preserve"> kennen daarentegen</w:t>
      </w:r>
      <w:r w:rsidR="004E1D4C">
        <w:rPr>
          <w:rStyle w:val="normaltextrun"/>
          <w:rFonts w:ascii="Lato" w:hAnsi="Lato"/>
          <w:sz w:val="20"/>
          <w:szCs w:val="20"/>
          <w:lang w:val="nl-NL"/>
        </w:rPr>
        <w:t xml:space="preserve"> dat probleem niet en kunnen dus in een aantal situaties </w:t>
      </w:r>
      <w:r w:rsidR="00951EA2">
        <w:rPr>
          <w:rStyle w:val="normaltextrun"/>
          <w:rFonts w:ascii="Lato" w:hAnsi="Lato"/>
          <w:sz w:val="20"/>
          <w:szCs w:val="20"/>
          <w:lang w:val="nl-NL"/>
        </w:rPr>
        <w:t xml:space="preserve">de te verkiezen </w:t>
      </w:r>
      <w:r w:rsidR="00383A63">
        <w:rPr>
          <w:rStyle w:val="normaltextrun"/>
          <w:rFonts w:ascii="Lato" w:hAnsi="Lato"/>
          <w:sz w:val="20"/>
          <w:szCs w:val="20"/>
          <w:lang w:val="nl-NL"/>
        </w:rPr>
        <w:t>plaatsings</w:t>
      </w:r>
      <w:r w:rsidR="00951EA2">
        <w:rPr>
          <w:rStyle w:val="normaltextrun"/>
          <w:rFonts w:ascii="Lato" w:hAnsi="Lato"/>
          <w:sz w:val="20"/>
          <w:szCs w:val="20"/>
          <w:lang w:val="nl-NL"/>
        </w:rPr>
        <w:t>procedure zijn.</w:t>
      </w:r>
    </w:p>
    <w:p w14:paraId="36B323C1" w14:textId="3AB68CCE" w:rsidR="00B84614" w:rsidRDefault="0046558A" w:rsidP="0046558A">
      <w:pPr>
        <w:rPr>
          <w:rStyle w:val="normaltextrun"/>
          <w:lang w:val="nl-NL"/>
        </w:rPr>
      </w:pPr>
      <w:r w:rsidRPr="00C267BB">
        <w:rPr>
          <w:rStyle w:val="normaltextrun"/>
          <w:lang w:val="nl-NL"/>
        </w:rPr>
        <w:t xml:space="preserve">Een bijkomend, </w:t>
      </w:r>
      <w:r w:rsidR="00C10312" w:rsidRPr="00C267BB">
        <w:rPr>
          <w:rStyle w:val="normaltextrun"/>
          <w:lang w:val="nl-NL"/>
        </w:rPr>
        <w:t>relevant</w:t>
      </w:r>
      <w:r w:rsidR="000352B7" w:rsidRPr="00C267BB">
        <w:rPr>
          <w:rStyle w:val="normaltextrun"/>
          <w:lang w:val="nl-NL"/>
        </w:rPr>
        <w:t xml:space="preserve"> en deels nieuw</w:t>
      </w:r>
      <w:r w:rsidR="00C10312" w:rsidRPr="00C267BB">
        <w:rPr>
          <w:rStyle w:val="normaltextrun"/>
          <w:lang w:val="nl-NL"/>
        </w:rPr>
        <w:t xml:space="preserve"> instrument voor de</w:t>
      </w:r>
      <w:r w:rsidR="00395603" w:rsidRPr="00C267BB">
        <w:rPr>
          <w:rStyle w:val="normaltextrun"/>
          <w:lang w:val="nl-NL"/>
        </w:rPr>
        <w:t>r</w:t>
      </w:r>
      <w:r w:rsidR="00C10312" w:rsidRPr="00C267BB">
        <w:rPr>
          <w:rStyle w:val="normaltextrun"/>
          <w:lang w:val="nl-NL"/>
        </w:rPr>
        <w:t xml:space="preserve">gelijke situaties is de </w:t>
      </w:r>
      <w:r w:rsidR="00390522" w:rsidRPr="00C267BB">
        <w:rPr>
          <w:rStyle w:val="normaltextrun"/>
          <w:lang w:val="nl-NL"/>
        </w:rPr>
        <w:t>“</w:t>
      </w:r>
      <w:r w:rsidR="00C10312" w:rsidRPr="00C267BB">
        <w:rPr>
          <w:rStyle w:val="normaltextrun"/>
          <w:lang w:val="nl-NL"/>
        </w:rPr>
        <w:t>biedvergoeding</w:t>
      </w:r>
      <w:r w:rsidR="00390522" w:rsidRPr="00C267BB">
        <w:rPr>
          <w:rStyle w:val="normaltextrun"/>
          <w:lang w:val="nl-NL"/>
        </w:rPr>
        <w:t>”</w:t>
      </w:r>
      <w:r w:rsidR="00C10312" w:rsidRPr="00C267BB">
        <w:rPr>
          <w:rStyle w:val="normaltextrun"/>
          <w:lang w:val="nl-NL"/>
        </w:rPr>
        <w:t>.</w:t>
      </w:r>
      <w:r w:rsidR="00636353" w:rsidRPr="00C267BB">
        <w:rPr>
          <w:rStyle w:val="normaltextrun"/>
          <w:lang w:val="nl-NL"/>
        </w:rPr>
        <w:t xml:space="preserve"> Voor meer info</w:t>
      </w:r>
      <w:r w:rsidR="00C267BB" w:rsidRPr="00C267BB">
        <w:rPr>
          <w:rStyle w:val="normaltextrun"/>
          <w:lang w:val="nl-NL"/>
        </w:rPr>
        <w:t>: zie het</w:t>
      </w:r>
      <w:r w:rsidR="00636353" w:rsidRPr="00C267BB">
        <w:rPr>
          <w:rStyle w:val="normaltextrun"/>
          <w:lang w:val="nl-NL"/>
        </w:rPr>
        <w:t xml:space="preserve"> </w:t>
      </w:r>
      <w:r w:rsidR="00A526D3" w:rsidRPr="00C267BB">
        <w:rPr>
          <w:rStyle w:val="normaltextrun"/>
          <w:lang w:val="nl-NL"/>
        </w:rPr>
        <w:t xml:space="preserve">punt “vergoeding” </w:t>
      </w:r>
      <w:r w:rsidR="00636353" w:rsidRPr="00C267BB">
        <w:rPr>
          <w:rStyle w:val="normaltextrun"/>
          <w:lang w:val="nl-NL"/>
        </w:rPr>
        <w:t>onder 3.3.2</w:t>
      </w:r>
      <w:r w:rsidR="00390522" w:rsidRPr="00C267BB">
        <w:rPr>
          <w:rStyle w:val="normaltextrun"/>
          <w:lang w:val="nl-NL"/>
        </w:rPr>
        <w:t>.</w:t>
      </w:r>
      <w:r w:rsidR="00A526D3" w:rsidRPr="00C267BB">
        <w:rPr>
          <w:rStyle w:val="normaltextrun"/>
          <w:lang w:val="nl-NL"/>
        </w:rPr>
        <w:t xml:space="preserve"> </w:t>
      </w:r>
      <w:r w:rsidR="00636353" w:rsidRPr="00C267BB">
        <w:rPr>
          <w:rStyle w:val="normaltextrun"/>
          <w:lang w:val="nl-NL"/>
        </w:rPr>
        <w:t xml:space="preserve">en principe </w:t>
      </w:r>
      <w:r w:rsidR="006C50BB" w:rsidRPr="00C267BB">
        <w:rPr>
          <w:rStyle w:val="normaltextrun"/>
          <w:lang w:val="nl-NL"/>
        </w:rPr>
        <w:t>8</w:t>
      </w:r>
      <w:r w:rsidR="00636353" w:rsidRPr="00C267BB">
        <w:rPr>
          <w:rStyle w:val="normaltextrun"/>
          <w:lang w:val="nl-NL"/>
        </w:rPr>
        <w:t>.</w:t>
      </w:r>
      <w:r w:rsidR="00C10312">
        <w:rPr>
          <w:rStyle w:val="normaltextrun"/>
          <w:lang w:val="nl-NL"/>
        </w:rPr>
        <w:t xml:space="preserve"> </w:t>
      </w:r>
    </w:p>
    <w:p w14:paraId="13EA08D1" w14:textId="285167EE" w:rsidR="003B6F92" w:rsidRDefault="003B6F92" w:rsidP="0046558A">
      <w:pPr>
        <w:rPr>
          <w:rStyle w:val="normaltextrun"/>
          <w:lang w:val="nl-NL"/>
        </w:rPr>
      </w:pPr>
      <w:r>
        <w:rPr>
          <w:rStyle w:val="normaltextrun"/>
          <w:lang w:val="nl-NL"/>
        </w:rPr>
        <w:t>Merken we ook nog een belangrijk verschil op tussen</w:t>
      </w:r>
      <w:r w:rsidR="001445B4">
        <w:rPr>
          <w:rStyle w:val="normaltextrun"/>
          <w:lang w:val="nl-NL"/>
        </w:rPr>
        <w:t xml:space="preserve"> enerzijds de niet-openbare procedure en anderzijds de andere plaatsingsprocedures toegelicht in dit principe</w:t>
      </w:r>
      <w:r w:rsidR="00AD61AC">
        <w:rPr>
          <w:rStyle w:val="normaltextrun"/>
          <w:lang w:val="nl-NL"/>
        </w:rPr>
        <w:t>. Namelijk dat</w:t>
      </w:r>
      <w:r w:rsidR="00F043BC">
        <w:rPr>
          <w:rStyle w:val="normaltextrun"/>
          <w:lang w:val="nl-NL"/>
        </w:rPr>
        <w:t xml:space="preserve"> de niet-openbare procedure </w:t>
      </w:r>
      <w:r w:rsidR="00F44ED8">
        <w:rPr>
          <w:rStyle w:val="normaltextrun"/>
          <w:lang w:val="nl-NL"/>
        </w:rPr>
        <w:t xml:space="preserve">een </w:t>
      </w:r>
      <w:r w:rsidR="00F44ED8" w:rsidRPr="00F44ED8">
        <w:rPr>
          <w:rStyle w:val="normaltextrun"/>
          <w:lang w:val="nl-NL"/>
        </w:rPr>
        <w:t>gemeenrechtelijke procedure</w:t>
      </w:r>
      <w:r w:rsidR="00384905">
        <w:rPr>
          <w:rStyle w:val="normaltextrun"/>
          <w:lang w:val="nl-NL"/>
        </w:rPr>
        <w:t xml:space="preserve"> is (samen met de openbare procedure)</w:t>
      </w:r>
      <w:r w:rsidR="0074015B">
        <w:rPr>
          <w:rStyle w:val="normaltextrun"/>
          <w:lang w:val="nl-NL"/>
        </w:rPr>
        <w:t>,</w:t>
      </w:r>
      <w:r w:rsidR="00F44ED8" w:rsidRPr="00F44ED8">
        <w:rPr>
          <w:rStyle w:val="normaltextrun"/>
          <w:lang w:val="nl-NL"/>
        </w:rPr>
        <w:t xml:space="preserve"> </w:t>
      </w:r>
      <w:r w:rsidR="0000678D">
        <w:rPr>
          <w:rStyle w:val="normaltextrun"/>
          <w:lang w:val="nl-NL"/>
        </w:rPr>
        <w:t>wat inhoudt</w:t>
      </w:r>
      <w:r w:rsidR="00792346">
        <w:rPr>
          <w:rStyle w:val="normaltextrun"/>
          <w:lang w:val="nl-NL"/>
        </w:rPr>
        <w:t xml:space="preserve"> dat</w:t>
      </w:r>
      <w:r w:rsidR="0000678D">
        <w:rPr>
          <w:rStyle w:val="normaltextrun"/>
          <w:lang w:val="nl-NL"/>
        </w:rPr>
        <w:t xml:space="preserve"> </w:t>
      </w:r>
      <w:r w:rsidR="0028262A">
        <w:rPr>
          <w:rStyle w:val="normaltextrun"/>
          <w:lang w:val="nl-NL"/>
        </w:rPr>
        <w:t xml:space="preserve">een aanbesteder </w:t>
      </w:r>
      <w:r w:rsidR="00384905">
        <w:rPr>
          <w:rStyle w:val="normaltextrun"/>
          <w:lang w:val="nl-NL"/>
        </w:rPr>
        <w:t xml:space="preserve">er </w:t>
      </w:r>
      <w:r w:rsidR="0028262A">
        <w:rPr>
          <w:rStyle w:val="normaltextrun"/>
          <w:lang w:val="nl-NL"/>
        </w:rPr>
        <w:t xml:space="preserve">altijd </w:t>
      </w:r>
      <w:r w:rsidR="00990B7F">
        <w:rPr>
          <w:rStyle w:val="normaltextrun"/>
          <w:lang w:val="nl-NL"/>
        </w:rPr>
        <w:t xml:space="preserve">kan </w:t>
      </w:r>
      <w:r w:rsidR="0028262A">
        <w:rPr>
          <w:rStyle w:val="normaltextrun"/>
          <w:lang w:val="nl-NL"/>
        </w:rPr>
        <w:t xml:space="preserve">gebruik </w:t>
      </w:r>
      <w:r w:rsidR="00990B7F">
        <w:rPr>
          <w:rStyle w:val="normaltextrun"/>
          <w:lang w:val="nl-NL"/>
        </w:rPr>
        <w:t>v</w:t>
      </w:r>
      <w:r w:rsidR="0028262A">
        <w:rPr>
          <w:rStyle w:val="normaltextrun"/>
          <w:lang w:val="nl-NL"/>
        </w:rPr>
        <w:t xml:space="preserve">an maken, </w:t>
      </w:r>
      <w:r w:rsidR="00F44ED8" w:rsidRPr="00F44ED8">
        <w:rPr>
          <w:rStyle w:val="normaltextrun"/>
          <w:lang w:val="nl-NL"/>
        </w:rPr>
        <w:t>ongeacht het voorwerp en het geraamde bedrag van de opdracht.</w:t>
      </w:r>
      <w:r w:rsidR="0028262A">
        <w:rPr>
          <w:rStyle w:val="normaltextrun"/>
          <w:lang w:val="nl-NL"/>
        </w:rPr>
        <w:t xml:space="preserve"> </w:t>
      </w:r>
      <w:r w:rsidR="00E14DD3">
        <w:rPr>
          <w:rStyle w:val="normaltextrun"/>
          <w:lang w:val="nl-NL"/>
        </w:rPr>
        <w:t xml:space="preserve">De andere procedures </w:t>
      </w:r>
      <w:r w:rsidR="00AD16FB">
        <w:rPr>
          <w:rStyle w:val="normaltextrun"/>
          <w:lang w:val="nl-NL"/>
        </w:rPr>
        <w:t>kennen</w:t>
      </w:r>
      <w:r w:rsidR="00555EAE">
        <w:rPr>
          <w:rStyle w:val="normaltextrun"/>
          <w:lang w:val="nl-NL"/>
        </w:rPr>
        <w:t xml:space="preserve"> dan weer</w:t>
      </w:r>
      <w:r w:rsidR="00AD16FB">
        <w:rPr>
          <w:rStyle w:val="normaltextrun"/>
          <w:lang w:val="nl-NL"/>
        </w:rPr>
        <w:t xml:space="preserve"> elk een specifiek toepassingsgebi</w:t>
      </w:r>
      <w:r w:rsidR="00555EAE">
        <w:rPr>
          <w:rStyle w:val="normaltextrun"/>
          <w:lang w:val="nl-NL"/>
        </w:rPr>
        <w:t xml:space="preserve">ed met bepaalde voorwaarden. </w:t>
      </w:r>
      <w:r w:rsidR="00C07BFB" w:rsidRPr="00C07BFB">
        <w:rPr>
          <w:rStyle w:val="normaltextrun"/>
          <w:b/>
          <w:bCs/>
          <w:lang w:val="nl-NL"/>
        </w:rPr>
        <w:t>Wees daarvoor aandachtig als aanbesteder</w:t>
      </w:r>
      <w:r w:rsidR="00C07BFB">
        <w:rPr>
          <w:rStyle w:val="normaltextrun"/>
          <w:lang w:val="nl-NL"/>
        </w:rPr>
        <w:t xml:space="preserve">. </w:t>
      </w:r>
    </w:p>
    <w:p w14:paraId="2E7BBA5D" w14:textId="5B345D40" w:rsidR="00755D69" w:rsidRDefault="005977D1" w:rsidP="0046558A">
      <w:pPr>
        <w:rPr>
          <w:rStyle w:val="normaltextrun"/>
          <w:lang w:val="nl-NL"/>
        </w:rPr>
      </w:pPr>
      <w:r>
        <w:rPr>
          <w:rStyle w:val="normaltextrun"/>
          <w:lang w:val="nl-NL"/>
        </w:rPr>
        <w:t xml:space="preserve">Tot slot kan het </w:t>
      </w:r>
      <w:r w:rsidR="00755D69">
        <w:rPr>
          <w:rStyle w:val="normaltextrun"/>
          <w:lang w:val="nl-NL"/>
        </w:rPr>
        <w:t xml:space="preserve">niet de bedoeling zijn om te kiezen voor procedures met onderhandeling </w:t>
      </w:r>
      <w:r w:rsidR="00593AC8">
        <w:rPr>
          <w:rStyle w:val="normaltextrun"/>
          <w:lang w:val="nl-NL"/>
        </w:rPr>
        <w:t xml:space="preserve">met als </w:t>
      </w:r>
      <w:r w:rsidR="005D2D06">
        <w:rPr>
          <w:rStyle w:val="normaltextrun"/>
          <w:lang w:val="nl-NL"/>
        </w:rPr>
        <w:t xml:space="preserve">enige </w:t>
      </w:r>
      <w:r w:rsidR="00593AC8">
        <w:rPr>
          <w:rStyle w:val="normaltextrun"/>
          <w:lang w:val="nl-NL"/>
        </w:rPr>
        <w:t xml:space="preserve">(impliciete) doelstelling het onderhandelen </w:t>
      </w:r>
      <w:r w:rsidR="0020726E">
        <w:rPr>
          <w:rStyle w:val="normaltextrun"/>
          <w:lang w:val="nl-NL"/>
        </w:rPr>
        <w:t xml:space="preserve">(verlagen) </w:t>
      </w:r>
      <w:r w:rsidR="00E16783">
        <w:rPr>
          <w:rStyle w:val="normaltextrun"/>
          <w:lang w:val="nl-NL"/>
        </w:rPr>
        <w:t>over</w:t>
      </w:r>
      <w:r w:rsidR="008B232D">
        <w:rPr>
          <w:rStyle w:val="normaltextrun"/>
          <w:lang w:val="nl-NL"/>
        </w:rPr>
        <w:t xml:space="preserve"> (van)</w:t>
      </w:r>
      <w:r w:rsidR="0020726E">
        <w:rPr>
          <w:rStyle w:val="normaltextrun"/>
          <w:lang w:val="nl-NL"/>
        </w:rPr>
        <w:t xml:space="preserve"> de prijs. </w:t>
      </w:r>
    </w:p>
    <w:p w14:paraId="214D781C" w14:textId="7279ED56" w:rsidR="005760FD" w:rsidRDefault="005760FD">
      <w:pPr>
        <w:pStyle w:val="Kop3"/>
        <w:jc w:val="both"/>
      </w:pPr>
      <w:bookmarkStart w:id="53" w:name="_Toc135839947"/>
      <w:bookmarkStart w:id="54" w:name="_Toc150870552"/>
      <w:r>
        <w:t>Meerfasige procedure</w:t>
      </w:r>
      <w:r w:rsidRPr="00B77975">
        <w:t xml:space="preserve"> </w:t>
      </w:r>
      <w:r w:rsidR="0040441A">
        <w:t>met</w:t>
      </w:r>
      <w:r w:rsidR="00D72AFE">
        <w:t xml:space="preserve"> </w:t>
      </w:r>
      <w:r w:rsidRPr="00B77975">
        <w:t>onderhandeling</w:t>
      </w:r>
      <w:r w:rsidR="00BC1630">
        <w:t>/</w:t>
      </w:r>
      <w:r w:rsidR="00236317">
        <w:t>dialoog</w:t>
      </w:r>
      <w:r>
        <w:t>: voorde</w:t>
      </w:r>
      <w:r w:rsidR="00BC1630">
        <w:t>len</w:t>
      </w:r>
      <w:bookmarkEnd w:id="53"/>
      <w:bookmarkEnd w:id="54"/>
    </w:p>
    <w:p w14:paraId="34810E3F" w14:textId="589AE81C" w:rsidR="009C683B" w:rsidRPr="00427309" w:rsidRDefault="009C683B" w:rsidP="009C683B">
      <w:pPr>
        <w:rPr>
          <w:rStyle w:val="normaltextrun"/>
          <w:lang w:val="nl-NL"/>
        </w:rPr>
      </w:pPr>
      <w:r w:rsidRPr="001734DC">
        <w:rPr>
          <w:rStyle w:val="normaltextrun"/>
          <w:lang w:val="nl-NL"/>
        </w:rPr>
        <w:t>P</w:t>
      </w:r>
      <w:r>
        <w:rPr>
          <w:rStyle w:val="normaltextrun"/>
          <w:lang w:val="nl-NL"/>
        </w:rPr>
        <w:t>laatsingsp</w:t>
      </w:r>
      <w:r w:rsidRPr="001734DC">
        <w:rPr>
          <w:rStyle w:val="normaltextrun"/>
          <w:lang w:val="nl-NL"/>
        </w:rPr>
        <w:t>rocedures</w:t>
      </w:r>
      <w:r>
        <w:rPr>
          <w:rStyle w:val="normaltextrun"/>
          <w:lang w:val="nl-NL"/>
        </w:rPr>
        <w:t xml:space="preserve"> die verlopen</w:t>
      </w:r>
      <w:r w:rsidRPr="001734DC">
        <w:rPr>
          <w:rStyle w:val="normaltextrun"/>
          <w:lang w:val="nl-NL"/>
        </w:rPr>
        <w:t xml:space="preserve"> in </w:t>
      </w:r>
      <w:r w:rsidRPr="00427309">
        <w:rPr>
          <w:rStyle w:val="normaltextrun"/>
          <w:lang w:val="nl-NL"/>
        </w:rPr>
        <w:t>meerdere</w:t>
      </w:r>
      <w:r w:rsidRPr="002D5659">
        <w:rPr>
          <w:rStyle w:val="normaltextrun"/>
          <w:lang w:val="nl-NL"/>
        </w:rPr>
        <w:t xml:space="preserve"> fasen </w:t>
      </w:r>
      <w:r>
        <w:rPr>
          <w:rStyle w:val="normaltextrun"/>
          <w:lang w:val="nl-NL"/>
        </w:rPr>
        <w:t xml:space="preserve">kennen </w:t>
      </w:r>
      <w:r w:rsidRPr="00427309">
        <w:rPr>
          <w:rStyle w:val="normaltextrun"/>
          <w:lang w:val="nl-NL"/>
        </w:rPr>
        <w:t xml:space="preserve">zowel voor de </w:t>
      </w:r>
      <w:r w:rsidR="00CB59FA">
        <w:rPr>
          <w:rStyle w:val="normaltextrun"/>
          <w:lang w:val="nl-NL"/>
        </w:rPr>
        <w:t>aanbesteder</w:t>
      </w:r>
      <w:r w:rsidR="00CB59FA" w:rsidRPr="00427309">
        <w:rPr>
          <w:rStyle w:val="normaltextrun"/>
          <w:lang w:val="nl-NL"/>
        </w:rPr>
        <w:t xml:space="preserve"> </w:t>
      </w:r>
      <w:r w:rsidRPr="00427309">
        <w:rPr>
          <w:rStyle w:val="normaltextrun"/>
          <w:lang w:val="nl-NL"/>
        </w:rPr>
        <w:t>als voor de</w:t>
      </w:r>
      <w:r>
        <w:rPr>
          <w:rStyle w:val="normaltextrun"/>
          <w:lang w:val="nl-NL"/>
        </w:rPr>
        <w:t xml:space="preserve"> kandidaten en</w:t>
      </w:r>
      <w:r w:rsidRPr="00427309">
        <w:rPr>
          <w:rStyle w:val="normaltextrun"/>
          <w:lang w:val="nl-NL"/>
        </w:rPr>
        <w:t xml:space="preserve"> inschrijvers </w:t>
      </w:r>
      <w:r w:rsidR="00CB59FA">
        <w:rPr>
          <w:rStyle w:val="normaltextrun"/>
          <w:lang w:val="nl-NL"/>
        </w:rPr>
        <w:t xml:space="preserve">een aantal </w:t>
      </w:r>
      <w:r w:rsidRPr="00427309">
        <w:rPr>
          <w:rStyle w:val="normaltextrun"/>
          <w:lang w:val="nl-NL"/>
        </w:rPr>
        <w:t>voordelen:</w:t>
      </w:r>
    </w:p>
    <w:p w14:paraId="560C448D" w14:textId="77777777" w:rsidR="009C683B" w:rsidRPr="00ED7871" w:rsidRDefault="009C683B">
      <w:pPr>
        <w:pStyle w:val="Bullet1"/>
        <w:rPr>
          <w:rStyle w:val="normaltextrun"/>
          <w:lang w:val="nl-NL"/>
        </w:rPr>
      </w:pPr>
      <w:r w:rsidRPr="00427309">
        <w:rPr>
          <w:rStyle w:val="normaltextrun"/>
          <w:lang w:val="nl-NL"/>
        </w:rPr>
        <w:t xml:space="preserve">de </w:t>
      </w:r>
      <w:r>
        <w:rPr>
          <w:rStyle w:val="normaltextrun"/>
          <w:lang w:val="nl-NL"/>
        </w:rPr>
        <w:t>aanbesteder</w:t>
      </w:r>
      <w:r w:rsidRPr="00427309">
        <w:rPr>
          <w:rStyle w:val="normaltextrun"/>
          <w:lang w:val="nl-NL"/>
        </w:rPr>
        <w:t xml:space="preserve"> kan</w:t>
      </w:r>
      <w:r w:rsidRPr="00937496">
        <w:rPr>
          <w:rStyle w:val="normaltextrun"/>
          <w:lang w:val="nl-NL"/>
        </w:rPr>
        <w:t xml:space="preserve"> het aantal te beoordelen offertes</w:t>
      </w:r>
      <w:r w:rsidRPr="00427309">
        <w:rPr>
          <w:rStyle w:val="normaltextrun"/>
          <w:lang w:val="nl-NL"/>
        </w:rPr>
        <w:t xml:space="preserve"> terugdringen</w:t>
      </w:r>
      <w:r>
        <w:rPr>
          <w:rStyle w:val="normaltextrun"/>
          <w:lang w:val="nl-NL"/>
        </w:rPr>
        <w:t>, wat in het geval van complexe offertes een dubbel voordeel is. Tegelijk is de aanbesteder er zeker van dat de ondernemingen die offertes zullen versturen over de nodige bekwaamheden beschikken op basis van de selectiefase.</w:t>
      </w:r>
    </w:p>
    <w:p w14:paraId="2FAEC1DF" w14:textId="55D910A6" w:rsidR="009C683B" w:rsidRPr="00CB2463" w:rsidRDefault="009C683B">
      <w:pPr>
        <w:pStyle w:val="Bullet1"/>
        <w:rPr>
          <w:rStyle w:val="normaltextrun"/>
          <w:i/>
          <w:lang w:val="nl-NL"/>
        </w:rPr>
      </w:pPr>
      <w:r w:rsidDel="009F2415">
        <w:rPr>
          <w:rStyle w:val="normaltextrun"/>
          <w:lang w:val="nl-NL"/>
        </w:rPr>
        <w:t>k</w:t>
      </w:r>
      <w:r w:rsidRPr="00937496" w:rsidDel="009F2415">
        <w:rPr>
          <w:rStyle w:val="normaltextrun"/>
          <w:lang w:val="nl-NL"/>
        </w:rPr>
        <w:t>mo</w:t>
      </w:r>
      <w:r w:rsidRPr="00427309" w:rsidDel="009F2415">
        <w:rPr>
          <w:rStyle w:val="normaltextrun"/>
          <w:lang w:val="nl-NL"/>
        </w:rPr>
        <w:t>’s</w:t>
      </w:r>
      <w:r w:rsidRPr="00427309">
        <w:rPr>
          <w:rStyle w:val="normaltextrun"/>
          <w:lang w:val="nl-NL"/>
        </w:rPr>
        <w:t xml:space="preserve"> investeren </w:t>
      </w:r>
      <w:r w:rsidRPr="00937496">
        <w:rPr>
          <w:rStyle w:val="normaltextrun"/>
          <w:lang w:val="nl-NL"/>
        </w:rPr>
        <w:t xml:space="preserve">niet onnodig </w:t>
      </w:r>
      <w:r>
        <w:rPr>
          <w:rStyle w:val="normaltextrun"/>
          <w:lang w:val="nl-NL"/>
        </w:rPr>
        <w:t xml:space="preserve">veel </w:t>
      </w:r>
      <w:r w:rsidRPr="00937496">
        <w:rPr>
          <w:rStyle w:val="normaltextrun"/>
          <w:lang w:val="nl-NL"/>
        </w:rPr>
        <w:t>tijd</w:t>
      </w:r>
      <w:r w:rsidRPr="00427309">
        <w:rPr>
          <w:rStyle w:val="normaltextrun"/>
          <w:lang w:val="nl-NL"/>
        </w:rPr>
        <w:t xml:space="preserve"> en </w:t>
      </w:r>
      <w:r>
        <w:rPr>
          <w:rStyle w:val="normaltextrun"/>
          <w:lang w:val="nl-NL"/>
        </w:rPr>
        <w:t>personeel in het opstellen van</w:t>
      </w:r>
      <w:r w:rsidRPr="00427309">
        <w:rPr>
          <w:rStyle w:val="normaltextrun"/>
          <w:lang w:val="nl-NL"/>
        </w:rPr>
        <w:t xml:space="preserve"> een</w:t>
      </w:r>
      <w:r>
        <w:rPr>
          <w:rStyle w:val="normaltextrun"/>
          <w:lang w:val="nl-NL"/>
        </w:rPr>
        <w:t xml:space="preserve"> (complexe)</w:t>
      </w:r>
      <w:r w:rsidRPr="00427309">
        <w:rPr>
          <w:rStyle w:val="normaltextrun"/>
          <w:lang w:val="nl-NL"/>
        </w:rPr>
        <w:t xml:space="preserve"> offerte</w:t>
      </w:r>
      <w:r>
        <w:rPr>
          <w:rStyle w:val="normaltextrun"/>
          <w:lang w:val="nl-NL"/>
        </w:rPr>
        <w:t>. Z</w:t>
      </w:r>
      <w:r w:rsidRPr="00427309">
        <w:rPr>
          <w:rStyle w:val="normaltextrun"/>
          <w:lang w:val="nl-NL"/>
        </w:rPr>
        <w:t xml:space="preserve">eker </w:t>
      </w:r>
      <w:r>
        <w:rPr>
          <w:rStyle w:val="normaltextrun"/>
          <w:lang w:val="nl-NL"/>
        </w:rPr>
        <w:t xml:space="preserve">voor die opdrachten waar </w:t>
      </w:r>
      <w:r w:rsidRPr="00427309">
        <w:rPr>
          <w:rStyle w:val="normaltextrun"/>
          <w:lang w:val="nl-NL"/>
        </w:rPr>
        <w:t xml:space="preserve">ze </w:t>
      </w:r>
      <w:r>
        <w:rPr>
          <w:rStyle w:val="normaltextrun"/>
          <w:lang w:val="nl-NL"/>
        </w:rPr>
        <w:t xml:space="preserve">enerzijds </w:t>
      </w:r>
      <w:r w:rsidRPr="00427309">
        <w:rPr>
          <w:rStyle w:val="normaltextrun"/>
          <w:lang w:val="nl-NL"/>
        </w:rPr>
        <w:t>n</w:t>
      </w:r>
      <w:r>
        <w:rPr>
          <w:rStyle w:val="normaltextrun"/>
          <w:lang w:val="nl-NL"/>
        </w:rPr>
        <w:t>iet eens</w:t>
      </w:r>
      <w:r w:rsidRPr="00427309">
        <w:rPr>
          <w:rStyle w:val="normaltextrun"/>
          <w:lang w:val="nl-NL"/>
        </w:rPr>
        <w:t xml:space="preserve"> zekerheid hebben over het </w:t>
      </w:r>
      <w:r w:rsidRPr="00ED7871">
        <w:rPr>
          <w:rStyle w:val="normaltextrun"/>
          <w:lang w:val="nl-NL"/>
        </w:rPr>
        <w:t xml:space="preserve">voldoen aan de selectiecriteria en anderzijds waar de kans heel klein is dat ze </w:t>
      </w:r>
      <w:r>
        <w:rPr>
          <w:rStyle w:val="normaltextrun"/>
          <w:lang w:val="nl-NL"/>
        </w:rPr>
        <w:t>opdracht</w:t>
      </w:r>
      <w:r w:rsidRPr="00ED7871">
        <w:rPr>
          <w:rStyle w:val="normaltextrun"/>
          <w:lang w:val="nl-NL"/>
        </w:rPr>
        <w:t xml:space="preserve"> toegewezen krijgen</w:t>
      </w:r>
      <w:r>
        <w:rPr>
          <w:rStyle w:val="normaltextrun"/>
          <w:lang w:val="nl-NL"/>
        </w:rPr>
        <w:t>, is di</w:t>
      </w:r>
      <w:r w:rsidR="003C7267">
        <w:rPr>
          <w:rStyle w:val="normaltextrun"/>
          <w:lang w:val="nl-NL"/>
        </w:rPr>
        <w:t>e verspilling</w:t>
      </w:r>
      <w:r w:rsidR="00B23D09">
        <w:rPr>
          <w:rStyle w:val="normaltextrun"/>
          <w:lang w:val="nl-NL"/>
        </w:rPr>
        <w:t xml:space="preserve"> van middelen</w:t>
      </w:r>
      <w:r>
        <w:rPr>
          <w:rStyle w:val="normaltextrun"/>
          <w:lang w:val="nl-NL"/>
        </w:rPr>
        <w:t xml:space="preserve"> </w:t>
      </w:r>
      <w:r w:rsidR="00856774">
        <w:rPr>
          <w:rStyle w:val="normaltextrun"/>
          <w:lang w:val="nl-NL"/>
        </w:rPr>
        <w:t xml:space="preserve">extra </w:t>
      </w:r>
      <w:r>
        <w:rPr>
          <w:rStyle w:val="normaltextrun"/>
          <w:lang w:val="nl-NL"/>
        </w:rPr>
        <w:t>pijnlijk voor de klein</w:t>
      </w:r>
      <w:r w:rsidR="00856774">
        <w:rPr>
          <w:rStyle w:val="normaltextrun"/>
          <w:lang w:val="nl-NL"/>
        </w:rPr>
        <w:t>ste bedrijven</w:t>
      </w:r>
      <w:r>
        <w:rPr>
          <w:rStyle w:val="normaltextrun"/>
          <w:lang w:val="nl-NL"/>
        </w:rPr>
        <w:t>.</w:t>
      </w:r>
    </w:p>
    <w:p w14:paraId="70FEBA7D" w14:textId="1784A5F5" w:rsidR="00933A0A" w:rsidRDefault="009C683B" w:rsidP="009C683B">
      <w:pPr>
        <w:rPr>
          <w:rStyle w:val="normaltextrun"/>
          <w:lang w:eastAsia="nl-BE"/>
        </w:rPr>
      </w:pPr>
      <w:r w:rsidRPr="0039313C">
        <w:rPr>
          <w:rStyle w:val="normaltextrun"/>
        </w:rPr>
        <w:t xml:space="preserve">Bij </w:t>
      </w:r>
      <w:r>
        <w:rPr>
          <w:rStyle w:val="normaltextrun"/>
        </w:rPr>
        <w:t>meerfasige procedures</w:t>
      </w:r>
      <w:r w:rsidRPr="0039313C">
        <w:rPr>
          <w:rStyle w:val="normaltextrun"/>
        </w:rPr>
        <w:t xml:space="preserve"> kan de </w:t>
      </w:r>
      <w:r>
        <w:rPr>
          <w:rStyle w:val="normaltextrun"/>
        </w:rPr>
        <w:t>aanbesteder</w:t>
      </w:r>
      <w:r w:rsidRPr="0039313C">
        <w:rPr>
          <w:rStyle w:val="normaltextrun"/>
        </w:rPr>
        <w:t xml:space="preserve"> het aantal aan de selectiecriteria beantwoordende kandidaten die zij tot indiening van een offerte of tot een dialoog zal uitnodigen, beperken</w:t>
      </w:r>
      <w:r>
        <w:rPr>
          <w:rStyle w:val="normaltextrun"/>
        </w:rPr>
        <w:t>. En dat mits voldaan wordt aan een aantal voorwaarden (zoals b</w:t>
      </w:r>
      <w:r w:rsidR="00444A75">
        <w:rPr>
          <w:rStyle w:val="normaltextrun"/>
        </w:rPr>
        <w:t>ijvoorbeeld</w:t>
      </w:r>
      <w:r>
        <w:rPr>
          <w:rStyle w:val="normaltextrun"/>
        </w:rPr>
        <w:t xml:space="preserve"> het wettelijk minimumaantal dat varieert van procedure tot procedure, zie eerder). </w:t>
      </w:r>
      <w:r w:rsidR="006C50BB">
        <w:rPr>
          <w:rStyle w:val="normaltextrun"/>
          <w:lang w:eastAsia="nl-BE"/>
        </w:rPr>
        <w:t>O</w:t>
      </w:r>
      <w:r w:rsidR="006C50BB" w:rsidRPr="006858B9">
        <w:rPr>
          <w:rStyle w:val="normaltextrun"/>
          <w:lang w:eastAsia="nl-BE"/>
        </w:rPr>
        <w:t>m de voordelen van een twee</w:t>
      </w:r>
      <w:r w:rsidR="006C50BB">
        <w:rPr>
          <w:rStyle w:val="normaltextrun"/>
          <w:lang w:eastAsia="nl-BE"/>
        </w:rPr>
        <w:t>-</w:t>
      </w:r>
      <w:r w:rsidR="006C50BB" w:rsidRPr="006858B9">
        <w:rPr>
          <w:rStyle w:val="normaltextrun"/>
          <w:lang w:eastAsia="nl-BE"/>
        </w:rPr>
        <w:t xml:space="preserve"> of meerfasige procedure maximaal te benutten</w:t>
      </w:r>
      <w:r w:rsidR="006C50BB">
        <w:rPr>
          <w:rStyle w:val="normaltextrun"/>
          <w:lang w:eastAsia="nl-BE"/>
        </w:rPr>
        <w:t xml:space="preserve"> kan en zal het daarom</w:t>
      </w:r>
      <w:r w:rsidR="006C50BB" w:rsidRPr="006858B9">
        <w:rPr>
          <w:rStyle w:val="normaltextrun"/>
        </w:rPr>
        <w:t xml:space="preserve"> </w:t>
      </w:r>
      <w:r w:rsidR="006C50BB" w:rsidRPr="00FE6439">
        <w:rPr>
          <w:rStyle w:val="normaltextrun"/>
          <w:b/>
          <w:bCs/>
        </w:rPr>
        <w:t xml:space="preserve">in </w:t>
      </w:r>
      <w:r w:rsidR="002A3594">
        <w:rPr>
          <w:rStyle w:val="normaltextrun"/>
          <w:b/>
          <w:bCs/>
        </w:rPr>
        <w:t>een aantal</w:t>
      </w:r>
      <w:r w:rsidR="002A3594" w:rsidRPr="00FE6439">
        <w:rPr>
          <w:rStyle w:val="normaltextrun"/>
          <w:b/>
          <w:bCs/>
        </w:rPr>
        <w:t xml:space="preserve"> </w:t>
      </w:r>
      <w:r w:rsidR="006C50BB" w:rsidRPr="00FE6439">
        <w:rPr>
          <w:rStyle w:val="normaltextrun"/>
          <w:b/>
          <w:bCs/>
        </w:rPr>
        <w:t xml:space="preserve">gevallen </w:t>
      </w:r>
      <w:r w:rsidR="006C50BB" w:rsidRPr="00FE6439">
        <w:rPr>
          <w:rStyle w:val="normaltextrun"/>
          <w:b/>
          <w:bCs/>
          <w:lang w:eastAsia="nl-BE"/>
        </w:rPr>
        <w:t>aangewezen zijn om (wanneer mogelijk) het aantal geselecteerde ondernemingen niet hoger dan het wettelijk noodzakelijk</w:t>
      </w:r>
      <w:r w:rsidR="000C749B">
        <w:rPr>
          <w:rStyle w:val="normaltextrun"/>
          <w:b/>
          <w:bCs/>
          <w:lang w:eastAsia="nl-BE"/>
        </w:rPr>
        <w:t>e</w:t>
      </w:r>
      <w:r w:rsidR="006C50BB" w:rsidRPr="00FE6439">
        <w:rPr>
          <w:rStyle w:val="normaltextrun"/>
          <w:b/>
          <w:bCs/>
          <w:lang w:eastAsia="nl-BE"/>
        </w:rPr>
        <w:t xml:space="preserve"> te leggen</w:t>
      </w:r>
      <w:r w:rsidR="004E7B54">
        <w:rPr>
          <w:rStyle w:val="normaltextrun"/>
          <w:lang w:eastAsia="nl-BE"/>
        </w:rPr>
        <w:t>.</w:t>
      </w:r>
      <w:r w:rsidR="006F2658">
        <w:rPr>
          <w:rStyle w:val="normaltextrun"/>
          <w:lang w:eastAsia="nl-BE"/>
        </w:rPr>
        <w:t xml:space="preserve"> </w:t>
      </w:r>
    </w:p>
    <w:p w14:paraId="4934A2FE" w14:textId="0E0ED50F" w:rsidR="009C683B" w:rsidRPr="00FE6439" w:rsidRDefault="00D319FB" w:rsidP="009C683B">
      <w:pPr>
        <w:rPr>
          <w:rStyle w:val="normaltextrun"/>
        </w:rPr>
      </w:pPr>
      <w:r>
        <w:rPr>
          <w:rStyle w:val="normaltextrun"/>
          <w:lang w:eastAsia="nl-BE"/>
        </w:rPr>
        <w:t>Een dergelijke bepaling moet</w:t>
      </w:r>
      <w:r w:rsidR="009F4B2A">
        <w:rPr>
          <w:rStyle w:val="normaltextrun"/>
          <w:lang w:eastAsia="nl-BE"/>
        </w:rPr>
        <w:t xml:space="preserve"> evenwel</w:t>
      </w:r>
      <w:r w:rsidR="00A05AC8">
        <w:rPr>
          <w:rStyle w:val="normaltextrun"/>
          <w:lang w:eastAsia="nl-BE"/>
        </w:rPr>
        <w:t xml:space="preserve"> getoetst worden aan de marktrealiteit</w:t>
      </w:r>
      <w:r w:rsidR="00526984">
        <w:rPr>
          <w:rStyle w:val="normaltextrun"/>
          <w:lang w:eastAsia="nl-BE"/>
        </w:rPr>
        <w:t xml:space="preserve"> en de eigenschappen van de opdracht: </w:t>
      </w:r>
      <w:r w:rsidR="006C4F2F">
        <w:rPr>
          <w:rStyle w:val="normaltextrun"/>
          <w:lang w:eastAsia="nl-BE"/>
        </w:rPr>
        <w:t xml:space="preserve">in bepaalde sectoren </w:t>
      </w:r>
      <w:r w:rsidR="00312BE7">
        <w:rPr>
          <w:rStyle w:val="normaltextrun"/>
          <w:lang w:eastAsia="nl-BE"/>
        </w:rPr>
        <w:t xml:space="preserve">is drie tot vijf geselecteerde ondernemingen </w:t>
      </w:r>
      <w:r w:rsidR="00992101">
        <w:rPr>
          <w:rStyle w:val="normaltextrun"/>
          <w:lang w:eastAsia="nl-BE"/>
        </w:rPr>
        <w:t xml:space="preserve">te weinig om de mededinging </w:t>
      </w:r>
      <w:r w:rsidR="00E30EFC">
        <w:rPr>
          <w:rStyle w:val="normaltextrun"/>
          <w:lang w:eastAsia="nl-BE"/>
        </w:rPr>
        <w:t>te laten spelen</w:t>
      </w:r>
      <w:r w:rsidR="003C40A0">
        <w:rPr>
          <w:rStyle w:val="normaltextrun"/>
          <w:lang w:eastAsia="nl-BE"/>
        </w:rPr>
        <w:t>.</w:t>
      </w:r>
      <w:r w:rsidR="00E30EFC">
        <w:rPr>
          <w:rStyle w:val="normaltextrun"/>
          <w:lang w:eastAsia="nl-BE"/>
        </w:rPr>
        <w:t xml:space="preserve"> </w:t>
      </w:r>
      <w:r w:rsidR="003C40A0">
        <w:rPr>
          <w:rStyle w:val="normaltextrun"/>
          <w:lang w:eastAsia="nl-BE"/>
        </w:rPr>
        <w:t>E</w:t>
      </w:r>
      <w:r w:rsidR="00791DDA">
        <w:rPr>
          <w:rStyle w:val="normaltextrun"/>
          <w:lang w:eastAsia="nl-BE"/>
        </w:rPr>
        <w:t>r moet ook rekening gehouden worden met de</w:t>
      </w:r>
      <w:r w:rsidR="00665FD6">
        <w:rPr>
          <w:rStyle w:val="normaltextrun"/>
          <w:lang w:eastAsia="nl-BE"/>
        </w:rPr>
        <w:t xml:space="preserve"> complexiteit van de opdracht en de</w:t>
      </w:r>
      <w:r w:rsidR="00791DDA">
        <w:rPr>
          <w:rStyle w:val="normaltextrun"/>
          <w:lang w:eastAsia="nl-BE"/>
        </w:rPr>
        <w:t xml:space="preserve"> mogelijkheid dat </w:t>
      </w:r>
      <w:r w:rsidR="004704DE">
        <w:rPr>
          <w:rStyle w:val="normaltextrun"/>
          <w:lang w:eastAsia="nl-BE"/>
        </w:rPr>
        <w:t xml:space="preserve">ondernemingen afhaken </w:t>
      </w:r>
      <w:r w:rsidR="00933A0A">
        <w:rPr>
          <w:rStyle w:val="normaltextrun"/>
          <w:lang w:eastAsia="nl-BE"/>
        </w:rPr>
        <w:t xml:space="preserve">in de loop van de procedure. </w:t>
      </w:r>
      <w:r w:rsidR="00A722C1">
        <w:rPr>
          <w:rStyle w:val="normaltextrun"/>
          <w:lang w:eastAsia="nl-BE"/>
        </w:rPr>
        <w:t xml:space="preserve"> </w:t>
      </w:r>
    </w:p>
    <w:p w14:paraId="4013D461" w14:textId="18DB4AC8" w:rsidR="009C683B" w:rsidRDefault="009C683B" w:rsidP="00653266">
      <w:pPr>
        <w:rPr>
          <w:rStyle w:val="normaltextrun"/>
          <w:lang w:val="nl-NL"/>
        </w:rPr>
      </w:pPr>
      <w:r w:rsidRPr="00427309">
        <w:rPr>
          <w:rStyle w:val="normaltextrun"/>
          <w:lang w:val="nl-NL"/>
        </w:rPr>
        <w:t>Procedures met onderhandeling</w:t>
      </w:r>
      <w:r>
        <w:rPr>
          <w:rStyle w:val="normaltextrun"/>
          <w:lang w:val="nl-NL"/>
        </w:rPr>
        <w:t>en of dialoog</w:t>
      </w:r>
      <w:r w:rsidRPr="00427309">
        <w:rPr>
          <w:rStyle w:val="normaltextrun"/>
          <w:lang w:val="nl-NL"/>
        </w:rPr>
        <w:t xml:space="preserve"> hebben als bijkomend voordeel dat de </w:t>
      </w:r>
      <w:r w:rsidR="00B25DAC">
        <w:rPr>
          <w:rStyle w:val="normaltextrun"/>
          <w:lang w:val="nl-NL"/>
        </w:rPr>
        <w:t>aanbesteder</w:t>
      </w:r>
      <w:r w:rsidRPr="00427309">
        <w:rPr>
          <w:rStyle w:val="normaltextrun"/>
          <w:lang w:val="nl-NL"/>
        </w:rPr>
        <w:t xml:space="preserve"> </w:t>
      </w:r>
      <w:r>
        <w:rPr>
          <w:rStyle w:val="normaltextrun"/>
          <w:lang w:val="nl-NL"/>
        </w:rPr>
        <w:t xml:space="preserve">– </w:t>
      </w:r>
      <w:r w:rsidRPr="00427309">
        <w:rPr>
          <w:rStyle w:val="normaltextrun"/>
          <w:lang w:val="nl-NL"/>
        </w:rPr>
        <w:t>binnen de grenzen van het bestek</w:t>
      </w:r>
      <w:r>
        <w:rPr>
          <w:rStyle w:val="normaltextrun"/>
          <w:lang w:val="nl-NL"/>
        </w:rPr>
        <w:t xml:space="preserve"> –</w:t>
      </w:r>
      <w:r w:rsidRPr="00427309">
        <w:rPr>
          <w:rStyle w:val="normaltextrun"/>
          <w:lang w:val="nl-NL"/>
        </w:rPr>
        <w:t xml:space="preserve"> in gesprek kan gaan met </w:t>
      </w:r>
      <w:r>
        <w:rPr>
          <w:rStyle w:val="normaltextrun"/>
          <w:lang w:val="nl-NL"/>
        </w:rPr>
        <w:t>inschrijvers</w:t>
      </w:r>
      <w:r w:rsidRPr="00427309">
        <w:rPr>
          <w:rStyle w:val="normaltextrun"/>
          <w:lang w:val="nl-NL"/>
        </w:rPr>
        <w:t xml:space="preserve"> om zo een passend aanbod te krijgen. </w:t>
      </w:r>
      <w:r w:rsidR="00B25DAC">
        <w:rPr>
          <w:rStyle w:val="normaltextrun"/>
          <w:lang w:val="nl-NL"/>
        </w:rPr>
        <w:t>Dergelijke p</w:t>
      </w:r>
      <w:r w:rsidRPr="00427309">
        <w:rPr>
          <w:rStyle w:val="normaltextrun"/>
          <w:lang w:val="nl-NL"/>
        </w:rPr>
        <w:t>rocedures zijn</w:t>
      </w:r>
      <w:r>
        <w:rPr>
          <w:rStyle w:val="normaltextrun"/>
          <w:lang w:val="nl-NL"/>
        </w:rPr>
        <w:t xml:space="preserve"> met andere woorden</w:t>
      </w:r>
      <w:r w:rsidRPr="00427309">
        <w:rPr>
          <w:rStyle w:val="normaltextrun"/>
          <w:lang w:val="nl-NL"/>
        </w:rPr>
        <w:t xml:space="preserve"> een doeltreffend middel in het instrumentarium overheidsopdrachten, op voorwaarde dat er waarborgen worden ingebouwd in de procedures waardoor de mededinging correct kan spelen, partijen niet discriminerend worden behandeld en er transparant wordt opgetreden.</w:t>
      </w:r>
    </w:p>
    <w:p w14:paraId="3CE197BA" w14:textId="3E13E1AD" w:rsidR="00A96827" w:rsidRPr="00637B87" w:rsidRDefault="00965212" w:rsidP="00A96827">
      <w:pPr>
        <w:rPr>
          <w:rStyle w:val="normaltextrun"/>
          <w:lang w:val="nl-NL"/>
        </w:rPr>
      </w:pPr>
      <w:r w:rsidRPr="00637B87">
        <w:rPr>
          <w:rStyle w:val="normaltextrun"/>
          <w:b/>
          <w:bCs/>
          <w:lang w:val="nl-NL"/>
        </w:rPr>
        <w:t xml:space="preserve">Bovendien </w:t>
      </w:r>
      <w:r w:rsidR="00A705E5" w:rsidRPr="00637B87">
        <w:rPr>
          <w:rStyle w:val="normaltextrun"/>
          <w:b/>
          <w:bCs/>
          <w:lang w:val="nl-NL"/>
        </w:rPr>
        <w:t xml:space="preserve">kennen procedures met onderhandelingen </w:t>
      </w:r>
      <w:r w:rsidR="008946CB" w:rsidRPr="00637B87">
        <w:rPr>
          <w:rStyle w:val="normaltextrun"/>
          <w:b/>
          <w:bCs/>
          <w:lang w:val="nl-NL"/>
        </w:rPr>
        <w:t xml:space="preserve">een aantal </w:t>
      </w:r>
      <w:r w:rsidR="009D7A3E" w:rsidRPr="00637B87">
        <w:rPr>
          <w:rStyle w:val="normaltextrun"/>
          <w:b/>
          <w:bCs/>
          <w:lang w:val="nl-NL"/>
        </w:rPr>
        <w:t>bijkomende mogelijkheden</w:t>
      </w:r>
      <w:r w:rsidR="008946CB" w:rsidRPr="00637B87">
        <w:rPr>
          <w:rStyle w:val="normaltextrun"/>
          <w:b/>
          <w:bCs/>
          <w:lang w:val="nl-NL"/>
        </w:rPr>
        <w:t xml:space="preserve"> in het kader van </w:t>
      </w:r>
      <w:r w:rsidR="009D7A3E" w:rsidRPr="00637B87">
        <w:rPr>
          <w:rStyle w:val="normaltextrun"/>
          <w:b/>
          <w:bCs/>
          <w:lang w:val="nl-NL"/>
        </w:rPr>
        <w:t xml:space="preserve">het onderzoek naar </w:t>
      </w:r>
      <w:r w:rsidR="008946CB" w:rsidRPr="00637B87">
        <w:rPr>
          <w:rStyle w:val="normaltextrun"/>
          <w:b/>
          <w:bCs/>
          <w:lang w:val="nl-NL"/>
        </w:rPr>
        <w:t>de regelmatigheid van de offertes.</w:t>
      </w:r>
      <w:r w:rsidR="008946CB" w:rsidRPr="00637B87">
        <w:rPr>
          <w:rStyle w:val="normaltextrun"/>
          <w:lang w:val="nl-NL"/>
        </w:rPr>
        <w:t xml:space="preserve"> Zo stelt artikel 76</w:t>
      </w:r>
      <w:r w:rsidR="00085A78" w:rsidRPr="00637B87">
        <w:rPr>
          <w:rStyle w:val="normaltextrun"/>
          <w:lang w:val="nl-NL"/>
        </w:rPr>
        <w:t xml:space="preserve"> van het KB Plaatsing, </w:t>
      </w:r>
      <w:r w:rsidR="0020541D" w:rsidRPr="00637B87">
        <w:rPr>
          <w:rStyle w:val="normaltextrun"/>
          <w:lang w:val="nl-NL"/>
        </w:rPr>
        <w:t xml:space="preserve">paragraaf </w:t>
      </w:r>
      <w:r w:rsidR="00085A78" w:rsidRPr="00637B87">
        <w:rPr>
          <w:rStyle w:val="normaltextrun"/>
          <w:lang w:val="nl-NL"/>
        </w:rPr>
        <w:t xml:space="preserve">4, </w:t>
      </w:r>
      <w:r w:rsidR="004778B1" w:rsidRPr="00637B87">
        <w:rPr>
          <w:rStyle w:val="normaltextrun"/>
          <w:lang w:val="nl-NL"/>
        </w:rPr>
        <w:t>voor</w:t>
      </w:r>
      <w:r w:rsidR="00B55BC2" w:rsidRPr="00637B87">
        <w:rPr>
          <w:rStyle w:val="normaltextrun"/>
          <w:lang w:val="nl-NL"/>
        </w:rPr>
        <w:t xml:space="preserve"> opdrachten met een geraamde waarde gelijk aan of hoger dan de </w:t>
      </w:r>
      <w:r w:rsidR="00652C44" w:rsidRPr="00637B87">
        <w:rPr>
          <w:rStyle w:val="normaltextrun"/>
          <w:lang w:val="nl-NL"/>
        </w:rPr>
        <w:t>Europese bekendmakings</w:t>
      </w:r>
      <w:r w:rsidR="00B55BC2" w:rsidRPr="00637B87">
        <w:rPr>
          <w:rStyle w:val="normaltextrun"/>
          <w:lang w:val="nl-NL"/>
        </w:rPr>
        <w:t xml:space="preserve">drempel waarbij gebruik wordt gemaakt van een procedure </w:t>
      </w:r>
      <w:r w:rsidR="00FB192D" w:rsidRPr="00637B87">
        <w:rPr>
          <w:rStyle w:val="normaltextrun"/>
          <w:lang w:val="nl-NL"/>
        </w:rPr>
        <w:t>met</w:t>
      </w:r>
      <w:r w:rsidR="00B55BC2" w:rsidRPr="00637B87">
        <w:rPr>
          <w:rStyle w:val="normaltextrun"/>
          <w:lang w:val="nl-NL"/>
        </w:rPr>
        <w:t xml:space="preserve"> onderhandelingen</w:t>
      </w:r>
      <w:r w:rsidR="00F528C5" w:rsidRPr="00637B87">
        <w:rPr>
          <w:rStyle w:val="normaltextrun"/>
          <w:lang w:val="nl-NL"/>
        </w:rPr>
        <w:t>,</w:t>
      </w:r>
      <w:r w:rsidR="00A96827" w:rsidRPr="00637B87">
        <w:rPr>
          <w:rStyle w:val="normaltextrun"/>
          <w:lang w:val="nl-NL"/>
        </w:rPr>
        <w:t xml:space="preserve"> dat wanneer een</w:t>
      </w:r>
      <w:r w:rsidR="00F528C5" w:rsidRPr="00637B87">
        <w:rPr>
          <w:rStyle w:val="normaltextrun"/>
          <w:lang w:val="nl-NL"/>
        </w:rPr>
        <w:t xml:space="preserve"> niet-finale</w:t>
      </w:r>
      <w:r w:rsidR="00A96827" w:rsidRPr="00637B87">
        <w:rPr>
          <w:rStyle w:val="normaltextrun"/>
          <w:lang w:val="nl-NL"/>
        </w:rPr>
        <w:t xml:space="preserve"> offerte die meerdere niet substantiële onregelmatigheden bevat die door hun cumulatie of combinatie de in paragraaf 1, derde lid, van artikel 76 bedoelde gevolgen</w:t>
      </w:r>
      <w:r w:rsidR="00E3292C" w:rsidRPr="00637B87">
        <w:rPr>
          <w:rStyle w:val="normaltextrun"/>
          <w:lang w:val="nl-NL"/>
        </w:rPr>
        <w:t xml:space="preserve"> inzake substantiële onregelmatigheden</w:t>
      </w:r>
      <w:r w:rsidR="00A96827" w:rsidRPr="00637B87">
        <w:rPr>
          <w:rStyle w:val="normaltextrun"/>
          <w:lang w:val="nl-NL"/>
        </w:rPr>
        <w:t xml:space="preserve"> teweeg brengen, de </w:t>
      </w:r>
      <w:r w:rsidR="00E3292C" w:rsidRPr="00637B87">
        <w:rPr>
          <w:rStyle w:val="normaltextrun"/>
          <w:lang w:val="nl-NL"/>
        </w:rPr>
        <w:lastRenderedPageBreak/>
        <w:t>aanbesteder</w:t>
      </w:r>
      <w:r w:rsidR="00A96827" w:rsidRPr="00637B87">
        <w:rPr>
          <w:rStyle w:val="normaltextrun"/>
          <w:lang w:val="nl-NL"/>
        </w:rPr>
        <w:t xml:space="preserve"> de inschrijver de mogelijkheid</w:t>
      </w:r>
      <w:r w:rsidR="00E3292C" w:rsidRPr="00637B87">
        <w:rPr>
          <w:rStyle w:val="normaltextrun"/>
          <w:lang w:val="nl-NL"/>
        </w:rPr>
        <w:t xml:space="preserve"> verschaft</w:t>
      </w:r>
      <w:r w:rsidR="00A96827" w:rsidRPr="00637B87">
        <w:rPr>
          <w:rStyle w:val="normaltextrun"/>
          <w:lang w:val="nl-NL"/>
        </w:rPr>
        <w:t xml:space="preserve"> om deze onregelmatigheden te regulariseren vóór de onderhandelingen worden aangevat.</w:t>
      </w:r>
    </w:p>
    <w:p w14:paraId="1E47722E" w14:textId="5B9555DA" w:rsidR="00965212" w:rsidRPr="00637B87" w:rsidRDefault="00A96827" w:rsidP="00A96827">
      <w:pPr>
        <w:rPr>
          <w:rStyle w:val="normaltextrun"/>
          <w:lang w:val="nl-NL"/>
        </w:rPr>
      </w:pPr>
      <w:r w:rsidRPr="00637B87">
        <w:rPr>
          <w:rStyle w:val="normaltextrun"/>
          <w:lang w:val="nl-NL"/>
        </w:rPr>
        <w:t xml:space="preserve">De </w:t>
      </w:r>
      <w:r w:rsidR="00EC5FEA" w:rsidRPr="00637B87">
        <w:rPr>
          <w:rStyle w:val="normaltextrun"/>
          <w:lang w:val="nl-NL"/>
        </w:rPr>
        <w:t>aanbesteder</w:t>
      </w:r>
      <w:r w:rsidRPr="00637B87">
        <w:rPr>
          <w:rStyle w:val="normaltextrun"/>
          <w:lang w:val="nl-NL"/>
        </w:rPr>
        <w:t xml:space="preserve"> verklaart de offerte die een substantiële onregelmatigheid bevat nietig, behalve indien anders is bepaald in de opdrachtdocumenten. In dat laatste geval verschaft zij de inschrijver de mogelijkheid om een substantiële onregelmatigheid te regulariseren vóór de onderhandelingen worden aangevat, tenzij de </w:t>
      </w:r>
      <w:r w:rsidR="004A32A2" w:rsidRPr="00637B87">
        <w:rPr>
          <w:rStyle w:val="normaltextrun"/>
          <w:lang w:val="nl-NL"/>
        </w:rPr>
        <w:t>aanbesteder</w:t>
      </w:r>
      <w:r w:rsidRPr="00637B87">
        <w:rPr>
          <w:rStyle w:val="normaltextrun"/>
          <w:lang w:val="nl-NL"/>
        </w:rPr>
        <w:t xml:space="preserve"> ten aanzien van de betreffende onregelmatigheid heeft aangegeven dat deze geen voorwerp kan uitmaken van regularisatie.</w:t>
      </w:r>
    </w:p>
    <w:p w14:paraId="7730523B" w14:textId="39FE8034" w:rsidR="0056638B" w:rsidRPr="00637B87" w:rsidRDefault="007462F2" w:rsidP="00A96827">
      <w:pPr>
        <w:rPr>
          <w:rStyle w:val="normaltextrun"/>
          <w:lang w:val="nl-NL"/>
        </w:rPr>
      </w:pPr>
      <w:r w:rsidRPr="00637B87">
        <w:rPr>
          <w:rStyle w:val="normaltextrun"/>
          <w:lang w:val="nl-NL"/>
        </w:rPr>
        <w:t>Over</w:t>
      </w:r>
      <w:r w:rsidR="0056638B" w:rsidRPr="00637B87">
        <w:rPr>
          <w:rStyle w:val="normaltextrun"/>
          <w:lang w:val="nl-NL"/>
        </w:rPr>
        <w:t xml:space="preserve"> de opdrachten met een geraamde waarde lager dan de </w:t>
      </w:r>
      <w:r w:rsidR="00652C44" w:rsidRPr="00637B87">
        <w:rPr>
          <w:rStyle w:val="normaltextrun"/>
          <w:lang w:val="nl-NL"/>
        </w:rPr>
        <w:t>Europese bekendmakings</w:t>
      </w:r>
      <w:r w:rsidR="0056638B" w:rsidRPr="00637B87">
        <w:rPr>
          <w:rStyle w:val="normaltextrun"/>
          <w:lang w:val="nl-NL"/>
        </w:rPr>
        <w:t>drempel waarbij gebruik wordt gemaakt van een procedure waarin onderhandelingen toegelaten zijn</w:t>
      </w:r>
      <w:r w:rsidR="004141A6" w:rsidRPr="00637B87">
        <w:rPr>
          <w:rStyle w:val="normaltextrun"/>
          <w:lang w:val="nl-NL"/>
        </w:rPr>
        <w:t xml:space="preserve">, stelt </w:t>
      </w:r>
      <w:r w:rsidRPr="00637B87">
        <w:rPr>
          <w:rStyle w:val="normaltextrun"/>
          <w:lang w:val="nl-NL"/>
        </w:rPr>
        <w:t xml:space="preserve">paragraaf </w:t>
      </w:r>
      <w:r w:rsidR="004141A6" w:rsidRPr="00637B87">
        <w:rPr>
          <w:rStyle w:val="normaltextrun"/>
          <w:lang w:val="nl-NL"/>
        </w:rPr>
        <w:t>5 van artikel 76</w:t>
      </w:r>
      <w:r w:rsidR="0056638B" w:rsidRPr="00637B87">
        <w:rPr>
          <w:rStyle w:val="normaltextrun"/>
          <w:lang w:val="nl-NL"/>
        </w:rPr>
        <w:t xml:space="preserve"> </w:t>
      </w:r>
      <w:r w:rsidR="004141A6" w:rsidRPr="00637B87">
        <w:rPr>
          <w:rStyle w:val="normaltextrun"/>
          <w:lang w:val="nl-NL"/>
        </w:rPr>
        <w:t>dat d</w:t>
      </w:r>
      <w:r w:rsidR="0056638B" w:rsidRPr="00637B87">
        <w:rPr>
          <w:rStyle w:val="normaltextrun"/>
          <w:lang w:val="nl-NL"/>
        </w:rPr>
        <w:t>e aanbestede</w:t>
      </w:r>
      <w:r w:rsidR="004141A6" w:rsidRPr="00637B87">
        <w:rPr>
          <w:rStyle w:val="normaltextrun"/>
          <w:lang w:val="nl-NL"/>
        </w:rPr>
        <w:t>r</w:t>
      </w:r>
      <w:r w:rsidR="0056638B" w:rsidRPr="00637B87">
        <w:rPr>
          <w:rStyle w:val="normaltextrun"/>
          <w:lang w:val="nl-NL"/>
        </w:rPr>
        <w:t xml:space="preserve"> beslist om hetzij de substantieel onregelmatige offerte nietig te verklaren, hetzij om deze onregelmatigheid te laten regulariseren. Hetzelfde geldt indien de offerte meerdere niet-substantiële onregelmatigheden bevat, wanneer de cumulatie of combinatie ervan de in paragraaf 1, derde lid,</w:t>
      </w:r>
      <w:r w:rsidR="00652C44" w:rsidRPr="00637B87">
        <w:rPr>
          <w:rStyle w:val="normaltextrun"/>
          <w:lang w:val="nl-NL"/>
        </w:rPr>
        <w:t xml:space="preserve"> van artikel 76</w:t>
      </w:r>
      <w:r w:rsidR="0056638B" w:rsidRPr="00637B87">
        <w:rPr>
          <w:rStyle w:val="normaltextrun"/>
          <w:lang w:val="nl-NL"/>
        </w:rPr>
        <w:t xml:space="preserve"> bedoelde gevolgen teweeg brengt.</w:t>
      </w:r>
    </w:p>
    <w:p w14:paraId="0F5E7034" w14:textId="7C7609C5" w:rsidR="00AC3285" w:rsidRDefault="00AC3285" w:rsidP="00A96827">
      <w:pPr>
        <w:rPr>
          <w:rStyle w:val="normaltextrun"/>
          <w:lang w:val="nl-NL"/>
        </w:rPr>
      </w:pPr>
      <w:r w:rsidRPr="00637B87">
        <w:rPr>
          <w:rStyle w:val="normaltextrun"/>
          <w:lang w:val="nl-NL"/>
        </w:rPr>
        <w:t>Voor meer gedetailleerde informatie verwijzen we door naar het voormelde artikel 76.</w:t>
      </w:r>
    </w:p>
    <w:p w14:paraId="4986FAF8" w14:textId="203411E2" w:rsidR="00207FDF" w:rsidRPr="00F426D4" w:rsidRDefault="00207FDF" w:rsidP="00653266">
      <w:pPr>
        <w:rPr>
          <w:rStyle w:val="normaltextrun"/>
          <w:lang w:val="nl-NL"/>
        </w:rPr>
      </w:pPr>
      <w:r>
        <w:rPr>
          <w:rStyle w:val="normaltextrun"/>
          <w:lang w:val="nl-NL"/>
        </w:rPr>
        <w:t>Tot slot een nuance: meerfasige procedures</w:t>
      </w:r>
      <w:r w:rsidR="003658C9">
        <w:rPr>
          <w:rStyle w:val="normaltextrun"/>
          <w:lang w:val="nl-NL"/>
        </w:rPr>
        <w:t xml:space="preserve"> duren</w:t>
      </w:r>
      <w:r w:rsidR="007E17AF">
        <w:rPr>
          <w:rStyle w:val="normaltextrun"/>
          <w:lang w:val="nl-NL"/>
        </w:rPr>
        <w:t xml:space="preserve"> logischerwijs</w:t>
      </w:r>
      <w:r w:rsidR="003658C9">
        <w:rPr>
          <w:rStyle w:val="normaltextrun"/>
          <w:lang w:val="nl-NL"/>
        </w:rPr>
        <w:t xml:space="preserve"> langer. Dat</w:t>
      </w:r>
      <w:r w:rsidR="00660246">
        <w:rPr>
          <w:rStyle w:val="normaltextrun"/>
          <w:lang w:val="nl-NL"/>
        </w:rPr>
        <w:t xml:space="preserve"> kan enerzijds</w:t>
      </w:r>
      <w:r w:rsidR="00DF5167">
        <w:rPr>
          <w:rStyle w:val="normaltextrun"/>
          <w:lang w:val="nl-NL"/>
        </w:rPr>
        <w:t xml:space="preserve"> een impact hebben op de aanbesteder (</w:t>
      </w:r>
      <w:r w:rsidR="00B7218F">
        <w:rPr>
          <w:rStyle w:val="normaltextrun"/>
          <w:lang w:val="nl-NL"/>
        </w:rPr>
        <w:t>bijvoorbeeld onder de vorm van</w:t>
      </w:r>
      <w:r w:rsidR="003A5C90">
        <w:rPr>
          <w:rStyle w:val="normaltextrun"/>
          <w:lang w:val="nl-NL"/>
        </w:rPr>
        <w:t xml:space="preserve"> potentieel</w:t>
      </w:r>
      <w:r w:rsidR="00B7218F">
        <w:rPr>
          <w:rStyle w:val="normaltextrun"/>
          <w:lang w:val="nl-NL"/>
        </w:rPr>
        <w:t xml:space="preserve"> stijgende prijzen) en anderzijds </w:t>
      </w:r>
      <w:r w:rsidR="006767C3">
        <w:rPr>
          <w:rStyle w:val="normaltextrun"/>
          <w:lang w:val="nl-NL"/>
        </w:rPr>
        <w:t xml:space="preserve">op </w:t>
      </w:r>
      <w:r w:rsidR="00B7218F">
        <w:rPr>
          <w:rStyle w:val="normaltextrun"/>
          <w:lang w:val="nl-NL"/>
        </w:rPr>
        <w:t>de onderneming</w:t>
      </w:r>
      <w:r w:rsidR="003C746F">
        <w:rPr>
          <w:rStyle w:val="normaltextrun"/>
          <w:lang w:val="nl-NL"/>
        </w:rPr>
        <w:t xml:space="preserve"> die</w:t>
      </w:r>
      <w:r w:rsidR="006E4B2B">
        <w:rPr>
          <w:rStyle w:val="normaltextrun"/>
          <w:lang w:val="nl-NL"/>
        </w:rPr>
        <w:t xml:space="preserve"> langer moet wachten op de gunningsbeslissing. </w:t>
      </w:r>
      <w:r w:rsidR="0038518D">
        <w:rPr>
          <w:rStyle w:val="normaltextrun"/>
          <w:lang w:val="nl-NL"/>
        </w:rPr>
        <w:t>Tegelijk zijn er dus ook</w:t>
      </w:r>
      <w:r w:rsidR="003A5C90">
        <w:rPr>
          <w:rStyle w:val="normaltextrun"/>
          <w:lang w:val="nl-NL"/>
        </w:rPr>
        <w:t xml:space="preserve"> in een aantal </w:t>
      </w:r>
      <w:r w:rsidR="00B46E42">
        <w:rPr>
          <w:rStyle w:val="normaltextrun"/>
          <w:lang w:val="nl-NL"/>
        </w:rPr>
        <w:t>situaties</w:t>
      </w:r>
      <w:r w:rsidR="0038518D">
        <w:rPr>
          <w:rStyle w:val="normaltextrun"/>
          <w:lang w:val="nl-NL"/>
        </w:rPr>
        <w:t xml:space="preserve"> tal van voordelen</w:t>
      </w:r>
      <w:r w:rsidR="00FE63DB">
        <w:rPr>
          <w:rStyle w:val="normaltextrun"/>
          <w:lang w:val="nl-NL"/>
        </w:rPr>
        <w:t>,</w:t>
      </w:r>
      <w:r w:rsidR="006C2F48">
        <w:rPr>
          <w:rStyle w:val="normaltextrun"/>
          <w:lang w:val="nl-NL"/>
        </w:rPr>
        <w:t xml:space="preserve"> en wenst het charter </w:t>
      </w:r>
      <w:r w:rsidR="000B7702">
        <w:rPr>
          <w:rStyle w:val="normaltextrun"/>
          <w:lang w:val="nl-NL"/>
        </w:rPr>
        <w:t>de</w:t>
      </w:r>
      <w:r w:rsidR="006C2F48">
        <w:rPr>
          <w:rStyle w:val="normaltextrun"/>
          <w:lang w:val="nl-NL"/>
        </w:rPr>
        <w:t xml:space="preserve"> meerfasige procedures </w:t>
      </w:r>
      <w:r w:rsidR="00136B53">
        <w:rPr>
          <w:rStyle w:val="normaltextrun"/>
          <w:lang w:val="nl-NL"/>
        </w:rPr>
        <w:t xml:space="preserve">en die situaties </w:t>
      </w:r>
      <w:r w:rsidR="000B7702">
        <w:rPr>
          <w:rStyle w:val="normaltextrun"/>
          <w:lang w:val="nl-NL"/>
        </w:rPr>
        <w:t>onder de aandacht te brengen</w:t>
      </w:r>
      <w:r w:rsidR="0038518D">
        <w:rPr>
          <w:rStyle w:val="normaltextrun"/>
          <w:lang w:val="nl-NL"/>
        </w:rPr>
        <w:t xml:space="preserve">. </w:t>
      </w:r>
    </w:p>
    <w:p w14:paraId="51E17E66" w14:textId="7095AB08" w:rsidR="00504F04" w:rsidRDefault="00522D7A">
      <w:pPr>
        <w:pStyle w:val="Kop3"/>
      </w:pPr>
      <w:bookmarkStart w:id="55" w:name="_Toc135839948"/>
      <w:bookmarkStart w:id="56" w:name="_Toc150870553"/>
      <w:r w:rsidRPr="00522D7A">
        <w:t>Meerfasige procedures met onderhandeling</w:t>
      </w:r>
      <w:r>
        <w:t>en</w:t>
      </w:r>
      <w:r w:rsidRPr="00522D7A">
        <w:t xml:space="preserve"> of dialoog</w:t>
      </w:r>
      <w:bookmarkEnd w:id="55"/>
      <w:bookmarkEnd w:id="56"/>
    </w:p>
    <w:p w14:paraId="2D224233" w14:textId="049FDF19" w:rsidR="00026DB1" w:rsidRPr="008C5ABF" w:rsidRDefault="00867526" w:rsidP="00867526">
      <w:pPr>
        <w:pStyle w:val="Kop4"/>
        <w:rPr>
          <w:lang w:val="nl-BE"/>
        </w:rPr>
      </w:pPr>
      <w:r w:rsidRPr="008C5ABF">
        <w:rPr>
          <w:iCs w:val="0"/>
          <w:lang w:val="nl-BE"/>
        </w:rPr>
        <w:t>1.</w:t>
      </w:r>
      <w:r w:rsidRPr="008C5ABF">
        <w:rPr>
          <w:lang w:val="nl-BE"/>
        </w:rPr>
        <w:t xml:space="preserve"> </w:t>
      </w:r>
      <w:r w:rsidR="006A51FF" w:rsidRPr="008C5ABF">
        <w:rPr>
          <w:lang w:val="nl-BE"/>
        </w:rPr>
        <w:t>De mededingings</w:t>
      </w:r>
      <w:r w:rsidR="00026DB1" w:rsidRPr="008C5ABF">
        <w:rPr>
          <w:lang w:val="nl-BE"/>
        </w:rPr>
        <w:t>procedure met onderhandeling</w:t>
      </w:r>
    </w:p>
    <w:p w14:paraId="098D159C" w14:textId="5B9988AF" w:rsidR="007468BD" w:rsidRPr="00427309" w:rsidRDefault="007468BD" w:rsidP="007468BD">
      <w:pPr>
        <w:rPr>
          <w:rStyle w:val="normaltextrun"/>
          <w:lang w:val="nl-NL"/>
        </w:rPr>
      </w:pPr>
      <w:r w:rsidRPr="00F8367F">
        <w:rPr>
          <w:rStyle w:val="normaltextrun"/>
          <w:lang w:val="nl-NL"/>
        </w:rPr>
        <w:t xml:space="preserve">Artikel 38, §1 </w:t>
      </w:r>
      <w:r>
        <w:rPr>
          <w:rStyle w:val="normaltextrun"/>
          <w:lang w:val="nl-NL"/>
        </w:rPr>
        <w:t>van de w</w:t>
      </w:r>
      <w:r w:rsidRPr="00F8367F">
        <w:rPr>
          <w:rStyle w:val="normaltextrun"/>
          <w:lang w:val="nl-NL"/>
        </w:rPr>
        <w:t>et</w:t>
      </w:r>
      <w:r>
        <w:rPr>
          <w:rStyle w:val="normaltextrun"/>
          <w:lang w:val="nl-NL"/>
        </w:rPr>
        <w:t xml:space="preserve"> </w:t>
      </w:r>
      <w:r w:rsidR="00453D10">
        <w:rPr>
          <w:rStyle w:val="normaltextrun"/>
          <w:lang w:val="nl-NL"/>
        </w:rPr>
        <w:t>van 17 juni 2016</w:t>
      </w:r>
      <w:r w:rsidRPr="00F8367F">
        <w:rPr>
          <w:rStyle w:val="normaltextrun"/>
          <w:lang w:val="nl-NL"/>
        </w:rPr>
        <w:t xml:space="preserve"> beschrijft de gevallen waarin een beroep op d</w:t>
      </w:r>
      <w:r>
        <w:rPr>
          <w:rStyle w:val="normaltextrun"/>
          <w:lang w:val="nl-NL"/>
        </w:rPr>
        <w:t xml:space="preserve">eze procedure </w:t>
      </w:r>
      <w:r w:rsidRPr="00F8367F">
        <w:rPr>
          <w:rStyle w:val="normaltextrun"/>
          <w:lang w:val="nl-NL"/>
        </w:rPr>
        <w:t>mogelijk is.</w:t>
      </w:r>
      <w:r>
        <w:rPr>
          <w:rStyle w:val="normaltextrun"/>
          <w:lang w:val="nl-NL"/>
        </w:rPr>
        <w:t xml:space="preserve"> </w:t>
      </w:r>
      <w:r w:rsidRPr="00427309">
        <w:rPr>
          <w:rStyle w:val="normaltextrun"/>
          <w:lang w:val="nl-NL"/>
        </w:rPr>
        <w:t>Twee</w:t>
      </w:r>
      <w:r>
        <w:rPr>
          <w:rStyle w:val="normaltextrun"/>
          <w:lang w:val="nl-NL"/>
        </w:rPr>
        <w:t xml:space="preserve"> van die</w:t>
      </w:r>
      <w:r w:rsidRPr="00427309">
        <w:rPr>
          <w:rStyle w:val="normaltextrun"/>
          <w:lang w:val="nl-NL"/>
        </w:rPr>
        <w:t xml:space="preserve"> gevallen waarbij zowel voor werken, leveringen als diensten de </w:t>
      </w:r>
      <w:r>
        <w:rPr>
          <w:rStyle w:val="normaltextrun"/>
          <w:lang w:val="nl-NL"/>
        </w:rPr>
        <w:t>aanbesteder</w:t>
      </w:r>
      <w:r w:rsidRPr="00427309">
        <w:rPr>
          <w:rStyle w:val="normaltextrun"/>
          <w:lang w:val="nl-NL"/>
        </w:rPr>
        <w:t xml:space="preserve"> </w:t>
      </w:r>
      <w:r w:rsidR="002E703B">
        <w:rPr>
          <w:rStyle w:val="normaltextrun"/>
          <w:lang w:val="nl-NL"/>
        </w:rPr>
        <w:t xml:space="preserve">ervan </w:t>
      </w:r>
      <w:r w:rsidRPr="00427309">
        <w:rPr>
          <w:rStyle w:val="normaltextrun"/>
          <w:lang w:val="nl-NL"/>
        </w:rPr>
        <w:t xml:space="preserve">kan gebruikmaken, </w:t>
      </w:r>
      <w:r w:rsidR="00D93059">
        <w:rPr>
          <w:rStyle w:val="normaltextrun"/>
          <w:lang w:val="nl-NL"/>
        </w:rPr>
        <w:t>worden</w:t>
      </w:r>
      <w:r w:rsidR="00D93059" w:rsidRPr="00427309">
        <w:rPr>
          <w:rStyle w:val="normaltextrun"/>
          <w:lang w:val="nl-NL"/>
        </w:rPr>
        <w:t xml:space="preserve"> </w:t>
      </w:r>
      <w:r w:rsidR="00CC5FF8">
        <w:rPr>
          <w:rStyle w:val="normaltextrun"/>
          <w:lang w:val="nl-NL"/>
        </w:rPr>
        <w:t xml:space="preserve">omwille van hun relevantie </w:t>
      </w:r>
      <w:r w:rsidR="002E703B">
        <w:rPr>
          <w:rStyle w:val="normaltextrun"/>
          <w:lang w:val="nl-NL"/>
        </w:rPr>
        <w:t>hier</w:t>
      </w:r>
      <w:r w:rsidRPr="00427309">
        <w:rPr>
          <w:rStyle w:val="normaltextrun"/>
          <w:lang w:val="nl-NL"/>
        </w:rPr>
        <w:t xml:space="preserve"> </w:t>
      </w:r>
      <w:r w:rsidR="00F63F9E">
        <w:rPr>
          <w:rStyle w:val="normaltextrun"/>
          <w:lang w:val="nl-NL"/>
        </w:rPr>
        <w:t>hernomen</w:t>
      </w:r>
      <w:r w:rsidRPr="00427309">
        <w:rPr>
          <w:rStyle w:val="normaltextrun"/>
          <w:lang w:val="nl-NL"/>
        </w:rPr>
        <w:t>: </w:t>
      </w:r>
    </w:p>
    <w:p w14:paraId="0482C629" w14:textId="1ACB1BD8" w:rsidR="007468BD" w:rsidRPr="00427309" w:rsidRDefault="00350CB5">
      <w:pPr>
        <w:pStyle w:val="Bullet1"/>
        <w:rPr>
          <w:rStyle w:val="normaltextrun"/>
          <w:lang w:val="nl-NL"/>
        </w:rPr>
      </w:pPr>
      <w:r>
        <w:rPr>
          <w:rStyle w:val="normaltextrun"/>
          <w:lang w:val="nl-NL"/>
        </w:rPr>
        <w:t xml:space="preserve">(a) </w:t>
      </w:r>
      <w:r w:rsidR="007468BD" w:rsidRPr="00427309">
        <w:rPr>
          <w:rStyle w:val="normaltextrun"/>
          <w:lang w:val="nl-NL"/>
        </w:rPr>
        <w:t xml:space="preserve">wanneer er niet kan worden voorzien in de behoeften van de </w:t>
      </w:r>
      <w:r w:rsidR="00966D6C">
        <w:rPr>
          <w:rStyle w:val="normaltextrun"/>
          <w:lang w:val="nl-NL"/>
        </w:rPr>
        <w:t>aanbesteder</w:t>
      </w:r>
      <w:r w:rsidR="007468BD" w:rsidRPr="00427309">
        <w:rPr>
          <w:rStyle w:val="normaltextrun"/>
          <w:lang w:val="nl-NL"/>
        </w:rPr>
        <w:t xml:space="preserve"> zonder aanpassing van </w:t>
      </w:r>
      <w:r w:rsidR="00966D6C">
        <w:rPr>
          <w:rStyle w:val="normaltextrun"/>
          <w:lang w:val="nl-NL"/>
        </w:rPr>
        <w:t xml:space="preserve">de </w:t>
      </w:r>
      <w:r w:rsidR="007468BD" w:rsidRPr="00427309">
        <w:rPr>
          <w:rStyle w:val="normaltextrun"/>
          <w:lang w:val="nl-NL"/>
        </w:rPr>
        <w:t>onmiddellijk beschikbare oplossingen</w:t>
      </w:r>
      <w:r w:rsidR="007468BD">
        <w:rPr>
          <w:rStyle w:val="normaltextrun"/>
          <w:lang w:val="nl-NL"/>
        </w:rPr>
        <w:t>. H</w:t>
      </w:r>
      <w:r w:rsidR="007468BD" w:rsidRPr="00427309">
        <w:rPr>
          <w:rStyle w:val="normaltextrun"/>
          <w:lang w:val="nl-NL"/>
        </w:rPr>
        <w:t xml:space="preserve">et betreft </w:t>
      </w:r>
      <w:r w:rsidR="007468BD">
        <w:rPr>
          <w:rStyle w:val="normaltextrun"/>
          <w:lang w:val="nl-NL"/>
        </w:rPr>
        <w:t>dus</w:t>
      </w:r>
      <w:r w:rsidR="007468BD" w:rsidRPr="00427309">
        <w:rPr>
          <w:rStyle w:val="normaltextrun"/>
          <w:lang w:val="nl-NL"/>
        </w:rPr>
        <w:t xml:space="preserve"> bestaande oplossingen, waarbij er in het productieproces of realisatieproces een ingreep noodzakelijk is om tegemoet te kunnen komen aan de specifieke behoeften van de </w:t>
      </w:r>
      <w:r w:rsidR="007468BD">
        <w:rPr>
          <w:rStyle w:val="normaltextrun"/>
          <w:lang w:val="nl-NL"/>
        </w:rPr>
        <w:t>aanbesteder;</w:t>
      </w:r>
    </w:p>
    <w:p w14:paraId="0DFBBAE5" w14:textId="7EE9F038" w:rsidR="007468BD" w:rsidRDefault="00350CB5">
      <w:pPr>
        <w:pStyle w:val="Bullet1"/>
        <w:rPr>
          <w:rStyle w:val="normaltextrun"/>
          <w:lang w:val="nl-NL"/>
        </w:rPr>
      </w:pPr>
      <w:r>
        <w:rPr>
          <w:rStyle w:val="normaltextrun"/>
          <w:lang w:val="nl-NL"/>
        </w:rPr>
        <w:t xml:space="preserve">(b) </w:t>
      </w:r>
      <w:r w:rsidR="007468BD" w:rsidRPr="00427309">
        <w:rPr>
          <w:rStyle w:val="normaltextrun"/>
          <w:lang w:val="nl-NL"/>
        </w:rPr>
        <w:t xml:space="preserve">wanneer de werken, leveringen of diensten ontwerp- of innovatieve oplossingen bevatten. Het betreft </w:t>
      </w:r>
      <w:r w:rsidR="007468BD">
        <w:rPr>
          <w:rStyle w:val="normaltextrun"/>
          <w:lang w:val="nl-NL"/>
        </w:rPr>
        <w:t xml:space="preserve">dus </w:t>
      </w:r>
      <w:r w:rsidR="007468BD" w:rsidRPr="00427309">
        <w:rPr>
          <w:rStyle w:val="normaltextrun"/>
          <w:lang w:val="nl-NL"/>
        </w:rPr>
        <w:t>een opdracht waar een (nieuwe) oplossing wordt uitgewerkt.</w:t>
      </w:r>
    </w:p>
    <w:p w14:paraId="0E4B757D" w14:textId="4474B144" w:rsidR="007468BD" w:rsidRPr="00CD05AD" w:rsidRDefault="007468BD" w:rsidP="007468BD">
      <w:pPr>
        <w:rPr>
          <w:rStyle w:val="eop"/>
        </w:rPr>
      </w:pPr>
      <w:r w:rsidRPr="00CD05AD">
        <w:rPr>
          <w:rStyle w:val="normaltextrun"/>
          <w:lang w:val="nl-NL"/>
        </w:rPr>
        <w:t>Het is dus niet zo dat de realisatie van een standaardgebouw als een overheidsopdracht voor werken onder (a) of (b) zou vallen, eenvoudigweg omdat het gebouw nog moet worden gebouwd. Een “design and build” of “design, build, finance, maintain”-opdracht voor werken daarentegen, kan wel onder</w:t>
      </w:r>
      <w:r>
        <w:rPr>
          <w:rStyle w:val="normaltextrun"/>
          <w:lang w:val="nl-NL"/>
        </w:rPr>
        <w:t xml:space="preserve"> een van</w:t>
      </w:r>
      <w:r w:rsidRPr="00CD05AD">
        <w:rPr>
          <w:rStyle w:val="normaltextrun"/>
          <w:lang w:val="nl-NL"/>
        </w:rPr>
        <w:t xml:space="preserve"> die twee mogelijkheden vallen.</w:t>
      </w:r>
      <w:r w:rsidRPr="00CD05AD">
        <w:rPr>
          <w:rStyle w:val="eop"/>
        </w:rPr>
        <w:t> </w:t>
      </w:r>
    </w:p>
    <w:p w14:paraId="57E9FC04" w14:textId="33949528" w:rsidR="007468BD" w:rsidRPr="00427309" w:rsidRDefault="007468BD" w:rsidP="007468BD">
      <w:pPr>
        <w:rPr>
          <w:rStyle w:val="normaltextrun"/>
          <w:lang w:val="nl-NL"/>
        </w:rPr>
      </w:pPr>
      <w:r w:rsidRPr="00427309">
        <w:rPr>
          <w:rStyle w:val="normaltextrun"/>
          <w:lang w:val="nl-NL"/>
        </w:rPr>
        <w:t xml:space="preserve">De mededingingsprocedure met onderhandeling is </w:t>
      </w:r>
      <w:r w:rsidRPr="00B249E2">
        <w:rPr>
          <w:rStyle w:val="normaltextrun"/>
          <w:b/>
          <w:lang w:val="nl-NL"/>
        </w:rPr>
        <w:t>toepasbaar voor opdrachten waarbij het mogelijk is om aan de hand van technische specificaties</w:t>
      </w:r>
      <w:r w:rsidRPr="00B249E2">
        <w:rPr>
          <w:rStyle w:val="normaltextrun"/>
          <w:lang w:val="nl-NL"/>
        </w:rPr>
        <w:t xml:space="preserve">, zij het functionele eisen of prestatie-eisen, </w:t>
      </w:r>
      <w:r w:rsidRPr="00B249E2">
        <w:rPr>
          <w:rStyle w:val="normaltextrun"/>
          <w:b/>
          <w:lang w:val="nl-NL"/>
        </w:rPr>
        <w:t xml:space="preserve">een bestek te maken, maar waar onderhandelingen </w:t>
      </w:r>
      <w:r w:rsidR="009F5490">
        <w:rPr>
          <w:rStyle w:val="normaltextrun"/>
          <w:b/>
          <w:lang w:val="nl-NL"/>
        </w:rPr>
        <w:t>nodig</w:t>
      </w:r>
      <w:r w:rsidR="009F5490" w:rsidRPr="00B249E2">
        <w:rPr>
          <w:rStyle w:val="normaltextrun"/>
          <w:b/>
          <w:lang w:val="nl-NL"/>
        </w:rPr>
        <w:t xml:space="preserve"> </w:t>
      </w:r>
      <w:r w:rsidRPr="00B249E2">
        <w:rPr>
          <w:rStyle w:val="normaltextrun"/>
          <w:b/>
          <w:lang w:val="nl-NL"/>
        </w:rPr>
        <w:t>worden geacht</w:t>
      </w:r>
      <w:r w:rsidRPr="00427309">
        <w:rPr>
          <w:rStyle w:val="normaltextrun"/>
          <w:lang w:val="nl-NL"/>
        </w:rPr>
        <w:t>. </w:t>
      </w:r>
    </w:p>
    <w:p w14:paraId="3BAC856E" w14:textId="405AE405" w:rsidR="007468BD" w:rsidRDefault="007468BD" w:rsidP="00CC1C36">
      <w:pPr>
        <w:rPr>
          <w:rStyle w:val="normaltextrun"/>
          <w:lang w:val="nl-NL"/>
        </w:rPr>
      </w:pPr>
      <w:r w:rsidRPr="00427309">
        <w:rPr>
          <w:rStyle w:val="normaltextrun"/>
          <w:lang w:val="nl-NL"/>
        </w:rPr>
        <w:t>De</w:t>
      </w:r>
      <w:r w:rsidR="005D1A2F">
        <w:rPr>
          <w:rStyle w:val="normaltextrun"/>
          <w:lang w:val="nl-NL"/>
        </w:rPr>
        <w:t xml:space="preserve">ze procedure </w:t>
      </w:r>
      <w:r w:rsidRPr="00427309">
        <w:rPr>
          <w:rStyle w:val="normaltextrun"/>
          <w:lang w:val="nl-NL"/>
        </w:rPr>
        <w:t xml:space="preserve">verloopt in twee fasen. Enkel ondernemingen die het best in staat worden geacht de opdracht uit te voeren en zich niet in een toestand van uitsluiting bevinden, worden immers, na bekendmaking van de aankondiging, geselecteerd en in een tweede fase uitgenodigd tot het indienen van een offerte tegen een bepaalde datum. Deze offerte vormt de basis voor verdere onderhandelingen. </w:t>
      </w:r>
      <w:r w:rsidR="00E343C4">
        <w:rPr>
          <w:rStyle w:val="normaltextrun"/>
          <w:lang w:val="nl-NL"/>
        </w:rPr>
        <w:t>H</w:t>
      </w:r>
      <w:r w:rsidRPr="00427309">
        <w:rPr>
          <w:rStyle w:val="normaltextrun"/>
          <w:lang w:val="nl-NL"/>
        </w:rPr>
        <w:t xml:space="preserve">et aantal kandidaten die tot deelneming aan de procedure worden uitgenodigd, kan worden beperkt, </w:t>
      </w:r>
      <w:r>
        <w:rPr>
          <w:rStyle w:val="normaltextrun"/>
          <w:lang w:val="nl-NL"/>
        </w:rPr>
        <w:t xml:space="preserve">weliswaar </w:t>
      </w:r>
      <w:r w:rsidRPr="00427309">
        <w:rPr>
          <w:rStyle w:val="normaltextrun"/>
          <w:lang w:val="nl-NL"/>
        </w:rPr>
        <w:t>met een minimum van 3.</w:t>
      </w:r>
    </w:p>
    <w:p w14:paraId="553451FF" w14:textId="6588C464" w:rsidR="00B33784" w:rsidRDefault="007468BD" w:rsidP="007468BD">
      <w:pPr>
        <w:rPr>
          <w:rStyle w:val="normaltextrun"/>
          <w:lang w:val="nl-NL"/>
        </w:rPr>
      </w:pPr>
      <w:r>
        <w:rPr>
          <w:rStyle w:val="normaltextrun"/>
          <w:lang w:val="nl-NL"/>
        </w:rPr>
        <w:t>Als voorbeeld van een opdracht waar de voordelen van deze procedure duidelijk tot uiting komen, kunnen we verwijzen naar architectuur</w:t>
      </w:r>
      <w:r w:rsidR="00FE6CE8">
        <w:rPr>
          <w:rStyle w:val="normaltextrun"/>
          <w:lang w:val="nl-NL"/>
        </w:rPr>
        <w:t xml:space="preserve">- en stedenbouwkundige </w:t>
      </w:r>
      <w:r>
        <w:rPr>
          <w:rStyle w:val="normaltextrun"/>
          <w:lang w:val="nl-NL"/>
        </w:rPr>
        <w:t>opdracht</w:t>
      </w:r>
      <w:r w:rsidR="00FE6CE8">
        <w:rPr>
          <w:rStyle w:val="normaltextrun"/>
          <w:lang w:val="nl-NL"/>
        </w:rPr>
        <w:t>en</w:t>
      </w:r>
      <w:r>
        <w:rPr>
          <w:rStyle w:val="normaltextrun"/>
          <w:lang w:val="nl-NL"/>
        </w:rPr>
        <w:t xml:space="preserve">. </w:t>
      </w:r>
    </w:p>
    <w:p w14:paraId="434A95D1" w14:textId="6DB4563D" w:rsidR="007468BD" w:rsidRDefault="007468BD" w:rsidP="007468BD">
      <w:pPr>
        <w:rPr>
          <w:rStyle w:val="normaltextrun"/>
          <w:lang w:val="nl-NL"/>
        </w:rPr>
      </w:pPr>
      <w:r>
        <w:rPr>
          <w:rStyle w:val="normaltextrun"/>
          <w:lang w:val="nl-NL"/>
        </w:rPr>
        <w:t xml:space="preserve">In de praktijk wordt immers vastgesteld dat er </w:t>
      </w:r>
      <w:r w:rsidR="00053CCA">
        <w:rPr>
          <w:rStyle w:val="normaltextrun"/>
          <w:lang w:val="nl-NL"/>
        </w:rPr>
        <w:t xml:space="preserve">bij dergelijke opdrachten </w:t>
      </w:r>
      <w:r>
        <w:rPr>
          <w:rStyle w:val="normaltextrun"/>
          <w:lang w:val="nl-NL"/>
        </w:rPr>
        <w:t xml:space="preserve">soms tot vaak gewerkt wordt met een eenfasige procedure, in combinatie met een reeks zware vereisten in het bestek – bijvoorbeeld inzake ontwerpen en maquettes. Een kandidaat-onderneming moet </w:t>
      </w:r>
      <w:r w:rsidR="00B04632">
        <w:rPr>
          <w:rStyle w:val="normaltextrun"/>
          <w:lang w:val="nl-NL"/>
        </w:rPr>
        <w:t xml:space="preserve">dus </w:t>
      </w:r>
      <w:r>
        <w:rPr>
          <w:rStyle w:val="normaltextrun"/>
          <w:lang w:val="nl-NL"/>
        </w:rPr>
        <w:t xml:space="preserve">een hele investering doen, vaak in de praktijk een deel van de uitvoering tijdens het opstellen van de offerte realiseren, zonder te weten of </w:t>
      </w:r>
      <w:r w:rsidR="00E61761">
        <w:rPr>
          <w:rStyle w:val="normaltextrun"/>
          <w:lang w:val="nl-NL"/>
        </w:rPr>
        <w:t>zij</w:t>
      </w:r>
      <w:r>
        <w:rPr>
          <w:rStyle w:val="normaltextrun"/>
          <w:lang w:val="nl-NL"/>
        </w:rPr>
        <w:t xml:space="preserve"> in aanmerking komt om geselecteerd te worden, laat staan om de opdracht gegund te krijgen. Tegelijk geeft het beoordelen van die offertes aanleiding tot </w:t>
      </w:r>
      <w:r>
        <w:rPr>
          <w:rStyle w:val="normaltextrun"/>
          <w:lang w:val="nl-NL"/>
        </w:rPr>
        <w:lastRenderedPageBreak/>
        <w:t xml:space="preserve">serieuze administratieve lasten voor de aanbesteder. </w:t>
      </w:r>
      <w:r w:rsidR="00173E40">
        <w:rPr>
          <w:rStyle w:val="normaltextrun"/>
          <w:lang w:val="nl-NL"/>
        </w:rPr>
        <w:t>Bovendien impliceert</w:t>
      </w:r>
      <w:r w:rsidR="001B2EC8">
        <w:rPr>
          <w:rStyle w:val="normaltextrun"/>
          <w:lang w:val="nl-NL"/>
        </w:rPr>
        <w:t xml:space="preserve"> een architectuur- en stedenbouwkundige opdracht vaak de facto </w:t>
      </w:r>
      <w:r w:rsidR="0034262A">
        <w:rPr>
          <w:rStyle w:val="normaltextrun"/>
          <w:lang w:val="nl-NL"/>
        </w:rPr>
        <w:t xml:space="preserve">een </w:t>
      </w:r>
      <w:r w:rsidR="0034262A" w:rsidRPr="0034262A">
        <w:rPr>
          <w:rStyle w:val="normaltextrun"/>
          <w:lang w:val="nl-NL"/>
        </w:rPr>
        <w:t>ontwerp- of innovatieve oplossing</w:t>
      </w:r>
      <w:r w:rsidR="0034262A">
        <w:rPr>
          <w:rStyle w:val="normaltextrun"/>
          <w:lang w:val="nl-NL"/>
        </w:rPr>
        <w:t>.</w:t>
      </w:r>
    </w:p>
    <w:p w14:paraId="19784942" w14:textId="131AE92D" w:rsidR="007468BD" w:rsidRDefault="007468BD" w:rsidP="007468BD">
      <w:pPr>
        <w:rPr>
          <w:rStyle w:val="normaltextrun"/>
          <w:lang w:val="nl-NL"/>
        </w:rPr>
      </w:pPr>
      <w:r>
        <w:rPr>
          <w:rStyle w:val="normaltextrun"/>
          <w:lang w:val="nl-NL"/>
        </w:rPr>
        <w:t>Wanneer echter gebruik gemaakt wordt van de mededingingsprocedure met onderhandeling, kan een aanbesteder in een eerste fase</w:t>
      </w:r>
      <w:r w:rsidRPr="00427309">
        <w:rPr>
          <w:rStyle w:val="normaltextrun"/>
          <w:lang w:val="nl-NL"/>
        </w:rPr>
        <w:t xml:space="preserve"> een beperkt aantal </w:t>
      </w:r>
      <w:r>
        <w:rPr>
          <w:rStyle w:val="normaltextrun"/>
          <w:lang w:val="nl-NL"/>
        </w:rPr>
        <w:t>kandidaten</w:t>
      </w:r>
      <w:r w:rsidRPr="00427309">
        <w:rPr>
          <w:rStyle w:val="normaltextrun"/>
          <w:lang w:val="nl-NL"/>
        </w:rPr>
        <w:t xml:space="preserve"> selecteren op hun ontwerpdeskundigheid</w:t>
      </w:r>
      <w:r>
        <w:rPr>
          <w:rStyle w:val="normaltextrun"/>
          <w:lang w:val="nl-NL"/>
        </w:rPr>
        <w:t xml:space="preserve">, </w:t>
      </w:r>
      <w:r w:rsidRPr="00427309">
        <w:rPr>
          <w:rStyle w:val="normaltextrun"/>
          <w:lang w:val="nl-NL"/>
        </w:rPr>
        <w:t>hun vakbekwaamheid en hun relevante ervaring</w:t>
      </w:r>
      <w:r>
        <w:rPr>
          <w:rStyle w:val="normaltextrun"/>
          <w:lang w:val="nl-NL"/>
        </w:rPr>
        <w:t>, bijvoorbeeld</w:t>
      </w:r>
      <w:r w:rsidRPr="00427309">
        <w:rPr>
          <w:rStyle w:val="normaltextrun"/>
          <w:lang w:val="nl-NL"/>
        </w:rPr>
        <w:t xml:space="preserve"> </w:t>
      </w:r>
      <w:r>
        <w:rPr>
          <w:rStyle w:val="normaltextrun"/>
          <w:lang w:val="nl-NL"/>
        </w:rPr>
        <w:t xml:space="preserve">aan de hand van </w:t>
      </w:r>
      <w:r w:rsidRPr="00427309">
        <w:rPr>
          <w:rStyle w:val="normaltextrun"/>
          <w:lang w:val="nl-NL"/>
        </w:rPr>
        <w:t xml:space="preserve">een beperkte voorstellingsnota en een portfolio. De geselecteerde ontwerpers werken vervolgens, in een tweede fase, hun ideeën verder uit tot </w:t>
      </w:r>
      <w:r w:rsidR="00E14116">
        <w:rPr>
          <w:rStyle w:val="normaltextrun"/>
          <w:lang w:val="nl-NL"/>
        </w:rPr>
        <w:t xml:space="preserve">een offerte en dat tot </w:t>
      </w:r>
      <w:r w:rsidRPr="00427309">
        <w:rPr>
          <w:rStyle w:val="normaltextrun"/>
          <w:lang w:val="nl-NL"/>
        </w:rPr>
        <w:t xml:space="preserve">een vooraf bepaald, </w:t>
      </w:r>
      <w:r w:rsidRPr="00A30814">
        <w:rPr>
          <w:rStyle w:val="normaltextrun"/>
          <w:b/>
          <w:bCs/>
          <w:lang w:val="nl-NL"/>
        </w:rPr>
        <w:t>proportioneel</w:t>
      </w:r>
      <w:r w:rsidRPr="00427309">
        <w:rPr>
          <w:rStyle w:val="normaltextrun"/>
          <w:lang w:val="nl-NL"/>
        </w:rPr>
        <w:t xml:space="preserve"> en duidelijk omschreven niveau.</w:t>
      </w:r>
    </w:p>
    <w:p w14:paraId="3F399D2B" w14:textId="60A98A78" w:rsidR="00925C65" w:rsidRDefault="007468BD" w:rsidP="00925C65">
      <w:pPr>
        <w:rPr>
          <w:rStyle w:val="normaltextrun"/>
          <w:lang w:val="nl-NL"/>
        </w:rPr>
      </w:pPr>
      <w:r>
        <w:rPr>
          <w:rStyle w:val="normaltextrun"/>
          <w:lang w:val="nl-NL"/>
        </w:rPr>
        <w:t>Naast de mededingingsprocedure met onderhandeling zijn ook nog andere procedures</w:t>
      </w:r>
      <w:r w:rsidR="0062473D">
        <w:rPr>
          <w:rStyle w:val="normaltextrun"/>
          <w:lang w:val="nl-NL"/>
        </w:rPr>
        <w:t>,</w:t>
      </w:r>
      <w:r>
        <w:rPr>
          <w:rStyle w:val="normaltextrun"/>
          <w:lang w:val="nl-NL"/>
        </w:rPr>
        <w:t xml:space="preserve"> die verderop in dit principe aan bod komen</w:t>
      </w:r>
      <w:r w:rsidR="0062473D">
        <w:rPr>
          <w:rStyle w:val="normaltextrun"/>
          <w:lang w:val="nl-NL"/>
        </w:rPr>
        <w:t>,</w:t>
      </w:r>
      <w:r>
        <w:rPr>
          <w:rStyle w:val="normaltextrun"/>
          <w:lang w:val="nl-NL"/>
        </w:rPr>
        <w:t xml:space="preserve"> uitermate geschikt voor architectuur</w:t>
      </w:r>
      <w:r w:rsidR="00A26912">
        <w:rPr>
          <w:rStyle w:val="normaltextrun"/>
          <w:lang w:val="nl-NL"/>
        </w:rPr>
        <w:t xml:space="preserve">- en stedenbouwkundige </w:t>
      </w:r>
      <w:r>
        <w:rPr>
          <w:rStyle w:val="normaltextrun"/>
          <w:lang w:val="nl-NL"/>
        </w:rPr>
        <w:t>opdrachten en andere</w:t>
      </w:r>
      <w:r w:rsidR="0062473D">
        <w:rPr>
          <w:rStyle w:val="normaltextrun"/>
          <w:lang w:val="nl-NL"/>
        </w:rPr>
        <w:t xml:space="preserve"> opdrachten</w:t>
      </w:r>
      <w:r>
        <w:rPr>
          <w:rStyle w:val="normaltextrun"/>
          <w:lang w:val="nl-NL"/>
        </w:rPr>
        <w:t xml:space="preserve"> van vergelijkbare aard. </w:t>
      </w:r>
      <w:r w:rsidR="001B18BA">
        <w:rPr>
          <w:rStyle w:val="normaltextrun"/>
          <w:lang w:val="nl-NL"/>
        </w:rPr>
        <w:t xml:space="preserve">Gebruik maken van eenfasige procedures voor dergelijke opdrachten wordt dan weer sterk afgeraden. </w:t>
      </w:r>
    </w:p>
    <w:p w14:paraId="2BB98F0C" w14:textId="18132877" w:rsidR="00E35B60" w:rsidRPr="00F35CFA" w:rsidRDefault="00867526" w:rsidP="00867526">
      <w:pPr>
        <w:pStyle w:val="Kop4"/>
        <w:rPr>
          <w:lang w:val="nl-BE"/>
        </w:rPr>
      </w:pPr>
      <w:r w:rsidRPr="00F35CFA">
        <w:rPr>
          <w:lang w:val="nl-BE"/>
        </w:rPr>
        <w:t xml:space="preserve">2. </w:t>
      </w:r>
      <w:r w:rsidR="00061A02" w:rsidRPr="00F35CFA">
        <w:rPr>
          <w:lang w:val="nl-BE"/>
        </w:rPr>
        <w:t xml:space="preserve">De </w:t>
      </w:r>
      <w:r w:rsidRPr="00F35CFA">
        <w:rPr>
          <w:lang w:val="nl-BE"/>
        </w:rPr>
        <w:t xml:space="preserve">concurrentiegerichte dialoog </w:t>
      </w:r>
    </w:p>
    <w:p w14:paraId="35223C39" w14:textId="4F7829B2" w:rsidR="00F35CFA" w:rsidRPr="00F35CFA" w:rsidRDefault="00F35CFA" w:rsidP="00F35CFA">
      <w:pPr>
        <w:rPr>
          <w:color w:val="000000"/>
        </w:rPr>
      </w:pPr>
      <w:r w:rsidRPr="00427309">
        <w:rPr>
          <w:rStyle w:val="normaltextrun"/>
          <w:color w:val="000000"/>
          <w:lang w:val="nl-NL"/>
        </w:rPr>
        <w:t xml:space="preserve">Volgens de Europese wetgever is de concurrentiegerichte dialoog </w:t>
      </w:r>
      <w:r w:rsidRPr="00AF29DA">
        <w:rPr>
          <w:rStyle w:val="normaltextrun"/>
          <w:lang w:val="nl-NL"/>
        </w:rPr>
        <w:t xml:space="preserve">nuttig voor innovatieve projecten </w:t>
      </w:r>
      <w:r w:rsidRPr="00427309">
        <w:rPr>
          <w:rStyle w:val="normaltextrun"/>
          <w:color w:val="000000"/>
          <w:lang w:val="nl-NL"/>
        </w:rPr>
        <w:t>in bepaalde domeinen</w:t>
      </w:r>
      <w:r>
        <w:rPr>
          <w:rStyle w:val="normaltextrun"/>
          <w:color w:val="000000"/>
          <w:lang w:val="nl-NL"/>
        </w:rPr>
        <w:t xml:space="preserve">, </w:t>
      </w:r>
      <w:r w:rsidRPr="00427309">
        <w:rPr>
          <w:rStyle w:val="normaltextrun"/>
          <w:color w:val="000000"/>
          <w:lang w:val="nl-NL"/>
        </w:rPr>
        <w:t xml:space="preserve"> zoals</w:t>
      </w:r>
      <w:r w:rsidDel="00790ACA">
        <w:rPr>
          <w:rStyle w:val="normaltextrun"/>
          <w:color w:val="000000"/>
          <w:lang w:val="nl-NL"/>
        </w:rPr>
        <w:t xml:space="preserve"> </w:t>
      </w:r>
      <w:r w:rsidRPr="00427309">
        <w:rPr>
          <w:rStyle w:val="normaltextrun"/>
          <w:color w:val="000000"/>
          <w:lang w:val="nl-NL"/>
        </w:rPr>
        <w:t>de verwezenlijking van</w:t>
      </w:r>
      <w:r>
        <w:rPr>
          <w:rStyle w:val="normaltextrun"/>
          <w:color w:val="000000"/>
          <w:lang w:val="nl-NL"/>
        </w:rPr>
        <w:t xml:space="preserve"> </w:t>
      </w:r>
      <w:r w:rsidRPr="00427309">
        <w:rPr>
          <w:rStyle w:val="normaltextrun"/>
          <w:color w:val="000000"/>
          <w:lang w:val="nl-NL"/>
        </w:rPr>
        <w:t>omvangrijke geïntegreerde vervoersinfrastructuurprojecten</w:t>
      </w:r>
      <w:r>
        <w:rPr>
          <w:rStyle w:val="normaltextrun"/>
          <w:color w:val="000000"/>
          <w:lang w:val="nl-NL"/>
        </w:rPr>
        <w:t xml:space="preserve"> </w:t>
      </w:r>
      <w:r w:rsidRPr="00427309">
        <w:rPr>
          <w:rStyle w:val="normaltextrun"/>
          <w:color w:val="000000"/>
          <w:lang w:val="nl-NL"/>
        </w:rPr>
        <w:t>of projecten met een complexe en gestructureerde financiering, en moet het gebruik van</w:t>
      </w:r>
      <w:r>
        <w:rPr>
          <w:rStyle w:val="normaltextrun"/>
          <w:color w:val="000000"/>
          <w:lang w:val="nl-NL"/>
        </w:rPr>
        <w:t xml:space="preserve"> deze procedure</w:t>
      </w:r>
      <w:r w:rsidRPr="00427309">
        <w:rPr>
          <w:rStyle w:val="normaltextrun"/>
          <w:color w:val="000000"/>
          <w:lang w:val="nl-NL"/>
        </w:rPr>
        <w:t xml:space="preserve"> bevorderd worden. </w:t>
      </w:r>
      <w:r w:rsidRPr="00427309">
        <w:rPr>
          <w:rStyle w:val="eop"/>
          <w:color w:val="000000"/>
        </w:rPr>
        <w:t> </w:t>
      </w:r>
    </w:p>
    <w:p w14:paraId="7D6D2D3F" w14:textId="77777777" w:rsidR="00F35CFA" w:rsidRPr="00427309" w:rsidRDefault="00F35CFA" w:rsidP="00F35CFA">
      <w:r w:rsidRPr="00427309">
        <w:rPr>
          <w:rStyle w:val="normaltextrun"/>
          <w:color w:val="000000"/>
          <w:lang w:val="nl-NL"/>
        </w:rPr>
        <w:t>De wettelijke voorwaarden om de</w:t>
      </w:r>
      <w:r>
        <w:rPr>
          <w:rStyle w:val="normaltextrun"/>
          <w:color w:val="000000"/>
          <w:lang w:val="nl-NL"/>
        </w:rPr>
        <w:t>ze</w:t>
      </w:r>
      <w:r w:rsidRPr="00427309">
        <w:rPr>
          <w:rStyle w:val="normaltextrun"/>
          <w:color w:val="000000"/>
          <w:lang w:val="nl-NL"/>
        </w:rPr>
        <w:t xml:space="preserve"> procedure te </w:t>
      </w:r>
      <w:r w:rsidRPr="00573938">
        <w:rPr>
          <w:rStyle w:val="normaltextrun"/>
          <w:lang w:val="nl-NL"/>
        </w:rPr>
        <w:t xml:space="preserve">kunnen toepassen in de klassieke </w:t>
      </w:r>
      <w:r w:rsidRPr="00427309">
        <w:rPr>
          <w:rStyle w:val="normaltextrun"/>
          <w:color w:val="000000"/>
          <w:lang w:val="nl-NL"/>
        </w:rPr>
        <w:t>sectoren zijn</w:t>
      </w:r>
      <w:r>
        <w:rPr>
          <w:rStyle w:val="normaltextrun"/>
          <w:color w:val="000000"/>
          <w:lang w:val="nl-NL"/>
        </w:rPr>
        <w:t xml:space="preserve"> sinds de wet van 17 juni 2016</w:t>
      </w:r>
      <w:r w:rsidRPr="00427309">
        <w:rPr>
          <w:rStyle w:val="normaltextrun"/>
          <w:color w:val="000000"/>
          <w:lang w:val="nl-NL"/>
        </w:rPr>
        <w:t xml:space="preserve"> dezelfde als die voor de mededingingsprocedure met onderhandeling. </w:t>
      </w:r>
      <w:r w:rsidRPr="00427309">
        <w:rPr>
          <w:rStyle w:val="eop"/>
          <w:color w:val="000000"/>
        </w:rPr>
        <w:t> </w:t>
      </w:r>
      <w:r w:rsidRPr="00427309">
        <w:rPr>
          <w:rStyle w:val="normaltextrun"/>
          <w:color w:val="000000"/>
          <w:lang w:val="nl-NL"/>
        </w:rPr>
        <w:t>D</w:t>
      </w:r>
      <w:r>
        <w:rPr>
          <w:rStyle w:val="normaltextrun"/>
          <w:color w:val="000000"/>
          <w:lang w:val="nl-NL"/>
        </w:rPr>
        <w:t>i</w:t>
      </w:r>
      <w:r w:rsidRPr="00427309">
        <w:rPr>
          <w:rStyle w:val="normaltextrun"/>
          <w:color w:val="000000"/>
          <w:lang w:val="nl-NL"/>
        </w:rPr>
        <w:t>e</w:t>
      </w:r>
      <w:r>
        <w:rPr>
          <w:rStyle w:val="normaltextrun"/>
          <w:color w:val="000000"/>
          <w:lang w:val="nl-NL"/>
        </w:rPr>
        <w:t xml:space="preserve"> laatste en</w:t>
      </w:r>
      <w:r w:rsidRPr="00427309">
        <w:rPr>
          <w:rStyle w:val="normaltextrun"/>
          <w:color w:val="000000"/>
          <w:lang w:val="nl-NL"/>
        </w:rPr>
        <w:t xml:space="preserve"> de concurrentiegerichte dialoog vertonen bovendien tal van </w:t>
      </w:r>
      <w:r w:rsidRPr="008F2E25">
        <w:rPr>
          <w:rStyle w:val="normaltextrun"/>
          <w:b/>
          <w:color w:val="000000"/>
          <w:lang w:val="nl-NL"/>
        </w:rPr>
        <w:t>gelijkenissen</w:t>
      </w:r>
      <w:r w:rsidRPr="00427309">
        <w:rPr>
          <w:rStyle w:val="normaltextrun"/>
          <w:color w:val="000000"/>
          <w:lang w:val="nl-NL"/>
        </w:rPr>
        <w:t>, met name:</w:t>
      </w:r>
      <w:r w:rsidRPr="00427309">
        <w:rPr>
          <w:rStyle w:val="eop"/>
          <w:color w:val="000000"/>
        </w:rPr>
        <w:t> </w:t>
      </w:r>
    </w:p>
    <w:p w14:paraId="606DC238" w14:textId="77777777" w:rsidR="00F35CFA" w:rsidRPr="003D5EFD" w:rsidRDefault="00F35CFA">
      <w:pPr>
        <w:pStyle w:val="Bullet1"/>
        <w:rPr>
          <w:lang w:val="nl-BE"/>
        </w:rPr>
      </w:pPr>
      <w:r w:rsidRPr="00427309">
        <w:rPr>
          <w:rStyle w:val="normaltextrun"/>
          <w:color w:val="000000"/>
          <w:lang w:val="nl-NL"/>
        </w:rPr>
        <w:t>iedere ondernemer kan een aanvraag tot deelneming indienen naar aanleiding van de aankondiging van een opdracht; </w:t>
      </w:r>
      <w:r w:rsidRPr="003D5EFD">
        <w:rPr>
          <w:rStyle w:val="eop"/>
          <w:color w:val="000000"/>
          <w:lang w:val="nl-BE"/>
        </w:rPr>
        <w:t> </w:t>
      </w:r>
    </w:p>
    <w:p w14:paraId="6DC0D3C1" w14:textId="77777777" w:rsidR="00F35CFA" w:rsidRPr="003D5EFD" w:rsidRDefault="00F35CFA">
      <w:pPr>
        <w:pStyle w:val="Bullet1"/>
        <w:rPr>
          <w:lang w:val="nl-BE"/>
        </w:rPr>
      </w:pPr>
      <w:r w:rsidRPr="00427309">
        <w:rPr>
          <w:rStyle w:val="normaltextrun"/>
          <w:color w:val="000000"/>
          <w:lang w:val="nl-NL"/>
        </w:rPr>
        <w:t>het aantal kandidaten die tot deelneming aan de procedure worden uitgenodigd, kan beperkt worden</w:t>
      </w:r>
      <w:r>
        <w:rPr>
          <w:rStyle w:val="normaltextrun"/>
          <w:color w:val="000000"/>
          <w:lang w:val="nl-NL"/>
        </w:rPr>
        <w:t>,</w:t>
      </w:r>
      <w:r w:rsidRPr="003D5EFD">
        <w:rPr>
          <w:rStyle w:val="eop"/>
          <w:color w:val="000000"/>
          <w:lang w:val="nl-BE"/>
        </w:rPr>
        <w:t> met een minimum van 3;</w:t>
      </w:r>
    </w:p>
    <w:p w14:paraId="19888528" w14:textId="77777777" w:rsidR="00F35CFA" w:rsidRPr="003D5EFD" w:rsidRDefault="00F35CFA">
      <w:pPr>
        <w:pStyle w:val="Bullet1"/>
        <w:rPr>
          <w:lang w:val="nl-BE"/>
        </w:rPr>
      </w:pPr>
      <w:r w:rsidRPr="00427309">
        <w:rPr>
          <w:rStyle w:val="normaltextrun"/>
          <w:color w:val="000000"/>
          <w:lang w:val="nl-NL"/>
        </w:rPr>
        <w:t>er wordt uitsluitend gegund op grond van de beste prijs-kwaliteitsverhouding; </w:t>
      </w:r>
      <w:r w:rsidRPr="003D5EFD">
        <w:rPr>
          <w:rStyle w:val="eop"/>
          <w:color w:val="000000"/>
          <w:lang w:val="nl-BE"/>
        </w:rPr>
        <w:t> </w:t>
      </w:r>
    </w:p>
    <w:p w14:paraId="4B4B96E1" w14:textId="754110A0" w:rsidR="00F35CFA" w:rsidRPr="00F35CFA" w:rsidRDefault="00F35CFA">
      <w:pPr>
        <w:pStyle w:val="Bullet1"/>
        <w:rPr>
          <w:rStyle w:val="normaltextrun"/>
          <w:lang w:val="nl-BE"/>
        </w:rPr>
      </w:pPr>
      <w:r w:rsidRPr="00427309">
        <w:rPr>
          <w:rStyle w:val="normaltextrun"/>
          <w:color w:val="000000"/>
          <w:lang w:val="nl-NL"/>
        </w:rPr>
        <w:t>de waarborgen op het vlak van de naleving van de beginselen van vertrouwelijkheid en gelijke behandeling van de inschrijvers.</w:t>
      </w:r>
      <w:r w:rsidRPr="003D5EFD">
        <w:rPr>
          <w:rStyle w:val="eop"/>
          <w:color w:val="000000"/>
          <w:lang w:val="nl-BE"/>
        </w:rPr>
        <w:t> </w:t>
      </w:r>
    </w:p>
    <w:p w14:paraId="3893CA7E" w14:textId="70262E18" w:rsidR="00F35CFA" w:rsidRPr="00F35CFA" w:rsidRDefault="00F35CFA" w:rsidP="00F35CFA">
      <w:pPr>
        <w:rPr>
          <w:rStyle w:val="normaltextrun"/>
        </w:rPr>
      </w:pPr>
      <w:r w:rsidRPr="00427309">
        <w:rPr>
          <w:rStyle w:val="normaltextrun"/>
          <w:color w:val="000000"/>
          <w:lang w:val="nl-NL"/>
        </w:rPr>
        <w:t xml:space="preserve">Hoewel de wettelijke toepassingsvoorwaarden van de beide procedures dezelfde zijn, hebben ze toch hun </w:t>
      </w:r>
      <w:r w:rsidRPr="00934551">
        <w:rPr>
          <w:rStyle w:val="normaltextrun"/>
          <w:b/>
          <w:color w:val="000000"/>
          <w:lang w:val="nl-NL"/>
        </w:rPr>
        <w:t>eigen kenmerken</w:t>
      </w:r>
      <w:r w:rsidRPr="00427309">
        <w:rPr>
          <w:rStyle w:val="normaltextrun"/>
          <w:color w:val="000000"/>
          <w:lang w:val="nl-NL"/>
        </w:rPr>
        <w:t>; met specifieke mogelijkheden en beperkingen vooral wat</w:t>
      </w:r>
      <w:r>
        <w:rPr>
          <w:rStyle w:val="normaltextrun"/>
          <w:color w:val="000000"/>
          <w:lang w:val="nl-NL"/>
        </w:rPr>
        <w:t xml:space="preserve"> onder meer</w:t>
      </w:r>
      <w:r w:rsidRPr="00427309">
        <w:rPr>
          <w:rStyle w:val="normaltextrun"/>
          <w:color w:val="000000"/>
          <w:lang w:val="nl-NL"/>
        </w:rPr>
        <w:t xml:space="preserve"> het detail van de procedureregels betreft, de ruimte voor onderhandelingen in de </w:t>
      </w:r>
      <w:r w:rsidR="00001CA5">
        <w:rPr>
          <w:rStyle w:val="normaltextrun"/>
          <w:color w:val="000000"/>
          <w:lang w:val="nl-NL"/>
        </w:rPr>
        <w:t>diverse</w:t>
      </w:r>
      <w:r w:rsidR="00001CA5" w:rsidRPr="00427309">
        <w:rPr>
          <w:rStyle w:val="normaltextrun"/>
          <w:color w:val="000000"/>
          <w:lang w:val="nl-NL"/>
        </w:rPr>
        <w:t xml:space="preserve"> </w:t>
      </w:r>
      <w:r w:rsidRPr="00427309">
        <w:rPr>
          <w:rStyle w:val="normaltextrun"/>
          <w:color w:val="000000"/>
          <w:lang w:val="nl-NL"/>
        </w:rPr>
        <w:t>fasen van de procedure</w:t>
      </w:r>
      <w:r>
        <w:rPr>
          <w:rStyle w:val="normaltextrun"/>
          <w:color w:val="000000"/>
          <w:lang w:val="nl-NL"/>
        </w:rPr>
        <w:t xml:space="preserve"> en</w:t>
      </w:r>
      <w:r w:rsidRPr="00427309">
        <w:rPr>
          <w:rStyle w:val="normaltextrun"/>
          <w:color w:val="000000"/>
          <w:lang w:val="nl-NL"/>
        </w:rPr>
        <w:t xml:space="preserve"> het ogenblik waarop de gunningscriteria moeten </w:t>
      </w:r>
      <w:r w:rsidR="008206FE" w:rsidRPr="00427309">
        <w:rPr>
          <w:rStyle w:val="normaltextrun"/>
          <w:color w:val="000000"/>
          <w:lang w:val="nl-NL"/>
        </w:rPr>
        <w:t xml:space="preserve">worden </w:t>
      </w:r>
      <w:r w:rsidRPr="00427309">
        <w:rPr>
          <w:rStyle w:val="normaltextrun"/>
          <w:color w:val="000000"/>
          <w:lang w:val="nl-NL"/>
        </w:rPr>
        <w:t>bekend gemaakt</w:t>
      </w:r>
      <w:r>
        <w:rPr>
          <w:rStyle w:val="normaltextrun"/>
          <w:color w:val="000000"/>
          <w:lang w:val="nl-NL"/>
        </w:rPr>
        <w:t xml:space="preserve">. </w:t>
      </w:r>
    </w:p>
    <w:p w14:paraId="696AE3C6" w14:textId="10EDFC8A" w:rsidR="00F35CFA" w:rsidRPr="00F35CFA" w:rsidRDefault="00F35CFA" w:rsidP="00F35CFA">
      <w:pPr>
        <w:rPr>
          <w:color w:val="000000"/>
        </w:rPr>
      </w:pPr>
      <w:r w:rsidRPr="00427309">
        <w:rPr>
          <w:rStyle w:val="normaltextrun"/>
          <w:color w:val="000000"/>
          <w:lang w:val="nl-NL"/>
        </w:rPr>
        <w:t xml:space="preserve">De </w:t>
      </w:r>
      <w:r w:rsidRPr="00730616">
        <w:rPr>
          <w:rStyle w:val="normaltextrun"/>
          <w:b/>
          <w:color w:val="000000"/>
          <w:lang w:val="nl-NL"/>
        </w:rPr>
        <w:t xml:space="preserve">keuze voor </w:t>
      </w:r>
      <w:r w:rsidR="00325177" w:rsidRPr="00427309">
        <w:rPr>
          <w:rStyle w:val="normaltextrun"/>
          <w:color w:val="000000"/>
          <w:lang w:val="nl-NL"/>
        </w:rPr>
        <w:t xml:space="preserve">bijvoorbeeld </w:t>
      </w:r>
      <w:r w:rsidRPr="00730616">
        <w:rPr>
          <w:rStyle w:val="normaltextrun"/>
          <w:b/>
          <w:color w:val="000000"/>
          <w:lang w:val="nl-NL"/>
        </w:rPr>
        <w:t>de concurrentiegerichte dialoog</w:t>
      </w:r>
      <w:r w:rsidRPr="00427309">
        <w:rPr>
          <w:rStyle w:val="normaltextrun"/>
          <w:color w:val="000000"/>
          <w:lang w:val="nl-NL"/>
        </w:rPr>
        <w:t xml:space="preserve"> dient zich beter aan dan die voor de mededingingsprocedure met onderhandeling </w:t>
      </w:r>
      <w:r w:rsidRPr="00C35CAD">
        <w:rPr>
          <w:rStyle w:val="normaltextrun"/>
          <w:lang w:val="nl-NL"/>
        </w:rPr>
        <w:t xml:space="preserve">wanneer enerzijds de </w:t>
      </w:r>
      <w:r w:rsidRPr="00DE3DEC">
        <w:rPr>
          <w:rStyle w:val="normaltextrun"/>
          <w:b/>
          <w:lang w:val="nl-NL"/>
        </w:rPr>
        <w:t>aanbesteder niet in de mogelijkheid is om een bestek te maken</w:t>
      </w:r>
      <w:r w:rsidRPr="00C35CAD">
        <w:rPr>
          <w:rStyle w:val="normaltextrun"/>
          <w:lang w:val="nl-NL"/>
        </w:rPr>
        <w:t>, ook niet wanneer bijgestaan door externe advies- of studiebureaus</w:t>
      </w:r>
      <w:r w:rsidR="00C345B4">
        <w:rPr>
          <w:rStyle w:val="normaltextrun"/>
          <w:lang w:val="nl-NL"/>
        </w:rPr>
        <w:t>.</w:t>
      </w:r>
      <w:r w:rsidRPr="00C35CAD">
        <w:rPr>
          <w:rStyle w:val="normaltextrun"/>
          <w:lang w:val="nl-NL"/>
        </w:rPr>
        <w:t xml:space="preserve"> </w:t>
      </w:r>
      <w:r w:rsidR="00C345B4">
        <w:rPr>
          <w:rStyle w:val="normaltextrun"/>
          <w:b/>
          <w:lang w:val="nl-NL"/>
        </w:rPr>
        <w:t>E</w:t>
      </w:r>
      <w:r w:rsidRPr="00DE3DEC">
        <w:rPr>
          <w:rStyle w:val="normaltextrun"/>
          <w:b/>
          <w:lang w:val="nl-NL"/>
        </w:rPr>
        <w:t>n</w:t>
      </w:r>
      <w:r w:rsidRPr="00C35CAD">
        <w:rPr>
          <w:rStyle w:val="normaltextrun"/>
          <w:lang w:val="nl-NL"/>
        </w:rPr>
        <w:t xml:space="preserve"> anderzijds, </w:t>
      </w:r>
      <w:r w:rsidRPr="00DE3DEC">
        <w:rPr>
          <w:rStyle w:val="normaltextrun"/>
          <w:b/>
          <w:color w:val="000000"/>
          <w:lang w:val="nl-NL"/>
        </w:rPr>
        <w:t>waarbij oplossingen het best zouden worden uitgewerkt door zij die beschikken over de daartoe vereiste kennis en kunde</w:t>
      </w:r>
      <w:r w:rsidRPr="00427309">
        <w:rPr>
          <w:rStyle w:val="normaltextrun"/>
          <w:color w:val="000000"/>
          <w:lang w:val="nl-NL"/>
        </w:rPr>
        <w:t>, met name de ondernemingen zelf. Het is pas wanneer duidelijk is geworden, aan het einde van de dialoog, welke oplossingen voldoen, dat de offerte wordt gevraagd. </w:t>
      </w:r>
      <w:r w:rsidRPr="00427309">
        <w:rPr>
          <w:rStyle w:val="eop"/>
          <w:color w:val="000000"/>
        </w:rPr>
        <w:t> </w:t>
      </w:r>
    </w:p>
    <w:p w14:paraId="58EE746C" w14:textId="1041AED0" w:rsidR="00F35CFA" w:rsidRPr="00F35CFA" w:rsidRDefault="00F35CFA" w:rsidP="00F35CFA">
      <w:pPr>
        <w:rPr>
          <w:color w:val="000000"/>
        </w:rPr>
      </w:pPr>
      <w:r w:rsidRPr="00427309">
        <w:rPr>
          <w:rStyle w:val="normaltextrun"/>
          <w:color w:val="000000"/>
          <w:lang w:val="nl-NL"/>
        </w:rPr>
        <w:t xml:space="preserve">Bijgevolg dient de </w:t>
      </w:r>
      <w:r>
        <w:rPr>
          <w:rStyle w:val="normaltextrun"/>
          <w:color w:val="000000"/>
          <w:lang w:val="nl-NL"/>
        </w:rPr>
        <w:t>aanbesteder</w:t>
      </w:r>
      <w:r w:rsidRPr="00427309">
        <w:rPr>
          <w:rStyle w:val="normaltextrun"/>
          <w:color w:val="000000"/>
          <w:lang w:val="nl-NL"/>
        </w:rPr>
        <w:t xml:space="preserve"> bij de concurrentiegerichte dialoog haar behoeften en eisen in de aankondiging en/of in een beschrijvend document te bepalen</w:t>
      </w:r>
      <w:r w:rsidRPr="00C35CAD">
        <w:rPr>
          <w:rStyle w:val="normaltextrun"/>
          <w:lang w:val="nl-NL"/>
        </w:rPr>
        <w:t>,</w:t>
      </w:r>
      <w:r w:rsidRPr="00427309">
        <w:rPr>
          <w:rStyle w:val="normaltextrun"/>
          <w:color w:val="000000"/>
          <w:lang w:val="nl-NL"/>
        </w:rPr>
        <w:t xml:space="preserve"> en de gunningscriteria alsook een indicatief tijdschema aan te geven</w:t>
      </w:r>
      <w:r>
        <w:rPr>
          <w:rStyle w:val="normaltextrun"/>
          <w:color w:val="000000"/>
          <w:lang w:val="nl-NL"/>
        </w:rPr>
        <w:t>. Vervolgens treedt</w:t>
      </w:r>
      <w:r w:rsidRPr="00427309">
        <w:rPr>
          <w:rStyle w:val="normaltextrun"/>
          <w:color w:val="000000"/>
          <w:lang w:val="nl-NL"/>
        </w:rPr>
        <w:t xml:space="preserve"> de </w:t>
      </w:r>
      <w:r>
        <w:rPr>
          <w:rStyle w:val="normaltextrun"/>
          <w:color w:val="000000"/>
          <w:lang w:val="nl-NL"/>
        </w:rPr>
        <w:t>aanbesteder</w:t>
      </w:r>
      <w:r w:rsidRPr="00427309">
        <w:rPr>
          <w:rStyle w:val="normaltextrun"/>
          <w:color w:val="000000"/>
          <w:lang w:val="nl-NL"/>
        </w:rPr>
        <w:t xml:space="preserve"> in dialoog met de geselecteerde</w:t>
      </w:r>
      <w:r w:rsidR="00DA1CA2">
        <w:rPr>
          <w:rStyle w:val="normaltextrun"/>
          <w:color w:val="000000"/>
          <w:lang w:val="nl-NL"/>
        </w:rPr>
        <w:t>n</w:t>
      </w:r>
      <w:r w:rsidRPr="00427309">
        <w:rPr>
          <w:rStyle w:val="normaltextrun"/>
          <w:color w:val="000000"/>
          <w:lang w:val="nl-NL"/>
        </w:rPr>
        <w:t xml:space="preserve"> om na te gaan en te bepalen met welke middelen het best in haar behoeften kan worden voorzien. Daarbij kunnen alle aspecten van de opdracht worden besproken.</w:t>
      </w:r>
      <w:r w:rsidRPr="00427309">
        <w:rPr>
          <w:rStyle w:val="eop"/>
          <w:color w:val="000000"/>
        </w:rPr>
        <w:t> </w:t>
      </w:r>
    </w:p>
    <w:p w14:paraId="2F647CDA" w14:textId="55A38DF4" w:rsidR="00F35CFA" w:rsidRPr="00F35CFA" w:rsidRDefault="00F35CFA" w:rsidP="00F35CFA">
      <w:pPr>
        <w:rPr>
          <w:color w:val="000000"/>
          <w:lang w:val="nl-NL"/>
        </w:rPr>
      </w:pPr>
      <w:r w:rsidRPr="00427309">
        <w:rPr>
          <w:rStyle w:val="normaltextrun"/>
          <w:color w:val="000000"/>
          <w:lang w:val="nl-NL"/>
        </w:rPr>
        <w:t>In de memorie van toelichting worden enkele voorbeelden gegeven van opdrachten waarbij het gebruik van de concurrentiegerichte dialoog aangewezen is. </w:t>
      </w:r>
      <w:r w:rsidRPr="00427309">
        <w:rPr>
          <w:rStyle w:val="eop"/>
          <w:color w:val="000000"/>
        </w:rPr>
        <w:t> </w:t>
      </w:r>
      <w:r w:rsidRPr="00427309">
        <w:rPr>
          <w:rStyle w:val="normaltextrun"/>
          <w:color w:val="000000"/>
          <w:lang w:val="nl-NL"/>
        </w:rPr>
        <w:t xml:space="preserve">Bij opdrachten voor werken </w:t>
      </w:r>
      <w:r w:rsidRPr="000208CE">
        <w:rPr>
          <w:rStyle w:val="normaltextrun"/>
          <w:color w:val="000000"/>
          <w:lang w:val="nl-NL"/>
        </w:rPr>
        <w:t xml:space="preserve">gaat het </w:t>
      </w:r>
      <w:r>
        <w:rPr>
          <w:rStyle w:val="normaltextrun"/>
          <w:color w:val="000000"/>
          <w:lang w:val="nl-NL"/>
        </w:rPr>
        <w:t xml:space="preserve">niet </w:t>
      </w:r>
      <w:r w:rsidRPr="00427309">
        <w:rPr>
          <w:rStyle w:val="normaltextrun"/>
          <w:color w:val="000000"/>
          <w:lang w:val="nl-NL"/>
        </w:rPr>
        <w:t>om werken die betrekking hebben op standaardgebouwen</w:t>
      </w:r>
      <w:r>
        <w:rPr>
          <w:rStyle w:val="normaltextrun"/>
          <w:color w:val="000000"/>
          <w:lang w:val="nl-NL"/>
        </w:rPr>
        <w:t>,</w:t>
      </w:r>
      <w:r w:rsidRPr="00427309">
        <w:rPr>
          <w:rStyle w:val="normaltextrun"/>
          <w:color w:val="000000"/>
          <w:lang w:val="nl-NL"/>
        </w:rPr>
        <w:t xml:space="preserve"> </w:t>
      </w:r>
      <w:r>
        <w:rPr>
          <w:rStyle w:val="normaltextrun"/>
          <w:color w:val="000000"/>
          <w:lang w:val="nl-NL"/>
        </w:rPr>
        <w:t>wel om</w:t>
      </w:r>
      <w:r w:rsidRPr="00427309">
        <w:rPr>
          <w:rStyle w:val="normaltextrun"/>
          <w:color w:val="000000"/>
          <w:lang w:val="nl-NL"/>
        </w:rPr>
        <w:t xml:space="preserve"> werken die tevens innovatieve oplossingen omvatten. Voor diensten of leveringen waarbij aanpassingen nodig zijn of waarmee ontwerpactiviteiten gemoeid zijn, wordt in het bijzonder verwezen naar het geval van complexe aankopen zoals de aankoop van geavanceerde producten</w:t>
      </w:r>
      <w:r w:rsidR="004C7014">
        <w:rPr>
          <w:rStyle w:val="normaltextrun"/>
          <w:color w:val="000000"/>
          <w:lang w:val="nl-NL"/>
        </w:rPr>
        <w:t xml:space="preserve"> en</w:t>
      </w:r>
      <w:r w:rsidRPr="00427309">
        <w:rPr>
          <w:rStyle w:val="normaltextrun"/>
          <w:color w:val="000000"/>
          <w:lang w:val="nl-NL"/>
        </w:rPr>
        <w:t xml:space="preserve"> intellectuele diensten, zoals bepaalde </w:t>
      </w:r>
      <w:r w:rsidR="005A2D40">
        <w:rPr>
          <w:rStyle w:val="normaltextrun"/>
          <w:color w:val="000000"/>
          <w:lang w:val="nl-NL"/>
        </w:rPr>
        <w:t>verzekerings</w:t>
      </w:r>
      <w:r w:rsidRPr="00427309">
        <w:rPr>
          <w:rStyle w:val="normaltextrun"/>
          <w:color w:val="000000"/>
          <w:lang w:val="nl-NL"/>
        </w:rPr>
        <w:t>-,</w:t>
      </w:r>
      <w:r w:rsidR="00160B10">
        <w:rPr>
          <w:rStyle w:val="normaltextrun"/>
          <w:color w:val="000000"/>
          <w:lang w:val="nl-NL"/>
        </w:rPr>
        <w:t xml:space="preserve"> communicatie-,</w:t>
      </w:r>
      <w:r w:rsidRPr="00427309">
        <w:rPr>
          <w:rStyle w:val="normaltextrun"/>
          <w:color w:val="000000"/>
          <w:lang w:val="nl-NL"/>
        </w:rPr>
        <w:t xml:space="preserve"> architectuur- of ingenieursdiensten, grote ICT-projecten</w:t>
      </w:r>
      <w:r w:rsidR="00462ABE">
        <w:rPr>
          <w:rStyle w:val="normaltextrun"/>
          <w:color w:val="000000"/>
          <w:lang w:val="nl-NL"/>
        </w:rPr>
        <w:t xml:space="preserve"> of</w:t>
      </w:r>
      <w:r w:rsidR="00201901">
        <w:rPr>
          <w:rStyle w:val="normaltextrun"/>
          <w:color w:val="000000"/>
          <w:lang w:val="nl-NL"/>
        </w:rPr>
        <w:t xml:space="preserve"> bepaalde</w:t>
      </w:r>
      <w:r w:rsidR="00462ABE">
        <w:rPr>
          <w:rStyle w:val="normaltextrun"/>
          <w:color w:val="000000"/>
          <w:lang w:val="nl-NL"/>
        </w:rPr>
        <w:t xml:space="preserve"> projecten in de evenementen</w:t>
      </w:r>
      <w:r w:rsidR="00E509DB">
        <w:rPr>
          <w:rStyle w:val="normaltextrun"/>
          <w:color w:val="000000"/>
          <w:lang w:val="nl-NL"/>
        </w:rPr>
        <w:t>sector</w:t>
      </w:r>
      <w:r w:rsidRPr="00427309">
        <w:rPr>
          <w:rStyle w:val="normaltextrun"/>
          <w:color w:val="000000"/>
          <w:lang w:val="nl-NL"/>
        </w:rPr>
        <w:t>.</w:t>
      </w:r>
    </w:p>
    <w:p w14:paraId="5F40D417" w14:textId="0C249534" w:rsidR="009F0567" w:rsidRDefault="00F35CFA" w:rsidP="009F0567">
      <w:pPr>
        <w:rPr>
          <w:rStyle w:val="normaltextrun"/>
          <w:color w:val="000000"/>
          <w:lang w:val="nl-NL"/>
        </w:rPr>
      </w:pPr>
      <w:r w:rsidRPr="00427309">
        <w:rPr>
          <w:rStyle w:val="normaltextrun"/>
          <w:color w:val="000000"/>
          <w:lang w:val="nl-NL"/>
        </w:rPr>
        <w:lastRenderedPageBreak/>
        <w:t xml:space="preserve">De concurrentiegerichte dialoog is dus in principe </w:t>
      </w:r>
      <w:r w:rsidRPr="004678AF">
        <w:rPr>
          <w:rStyle w:val="normaltextrun"/>
          <w:b/>
          <w:color w:val="000000"/>
          <w:lang w:val="nl-NL"/>
        </w:rPr>
        <w:t>toepasbaar voor</w:t>
      </w:r>
      <w:r w:rsidRPr="00427309">
        <w:rPr>
          <w:rStyle w:val="normaltextrun"/>
          <w:color w:val="000000"/>
          <w:lang w:val="nl-NL"/>
        </w:rPr>
        <w:t xml:space="preserve"> </w:t>
      </w:r>
      <w:r w:rsidRPr="00427309">
        <w:rPr>
          <w:rStyle w:val="normaltextrun"/>
          <w:b/>
          <w:color w:val="000000"/>
          <w:lang w:val="nl-NL"/>
        </w:rPr>
        <w:t>opdrachten waar een degelijk marktonderzoek of voorafgaande studie het niet mogelijk maakt tot een bestek te komen</w:t>
      </w:r>
      <w:r w:rsidRPr="00427309">
        <w:rPr>
          <w:rStyle w:val="normaltextrun"/>
          <w:color w:val="000000"/>
          <w:lang w:val="nl-NL"/>
        </w:rPr>
        <w:t xml:space="preserve">. Er is, lopende de procedure, </w:t>
      </w:r>
      <w:r w:rsidRPr="00EB2FD1">
        <w:rPr>
          <w:rStyle w:val="normaltextrun"/>
          <w:b/>
          <w:color w:val="000000"/>
          <w:lang w:val="nl-NL"/>
        </w:rPr>
        <w:t>een voorafgaande dialoog met ondernemers op de markt nodig</w:t>
      </w:r>
      <w:r w:rsidRPr="00427309">
        <w:rPr>
          <w:rStyle w:val="normaltextrun"/>
          <w:color w:val="000000"/>
          <w:lang w:val="nl-NL"/>
        </w:rPr>
        <w:t xml:space="preserve"> of opportuun, waarin oplossingen worden uitgewerkt.</w:t>
      </w:r>
    </w:p>
    <w:p w14:paraId="4CB94D64" w14:textId="6862132C" w:rsidR="00AB7190" w:rsidRPr="00801E4C" w:rsidRDefault="00AB7190" w:rsidP="009F0567">
      <w:pPr>
        <w:rPr>
          <w:color w:val="000000"/>
        </w:rPr>
      </w:pPr>
      <w:r>
        <w:rPr>
          <w:rStyle w:val="normaltextrun"/>
          <w:color w:val="000000"/>
          <w:lang w:val="nl-NL"/>
        </w:rPr>
        <w:t>Tot slot</w:t>
      </w:r>
      <w:r w:rsidR="0050081E">
        <w:rPr>
          <w:rStyle w:val="normaltextrun"/>
          <w:color w:val="000000"/>
          <w:lang w:val="nl-NL"/>
        </w:rPr>
        <w:t xml:space="preserve"> wordt in de praktijk</w:t>
      </w:r>
      <w:r w:rsidR="00C54620">
        <w:rPr>
          <w:rStyle w:val="normaltextrun"/>
          <w:color w:val="000000"/>
          <w:lang w:val="nl-NL"/>
        </w:rPr>
        <w:t xml:space="preserve"> soms</w:t>
      </w:r>
      <w:r w:rsidR="0050081E">
        <w:rPr>
          <w:rStyle w:val="normaltextrun"/>
          <w:color w:val="000000"/>
          <w:lang w:val="nl-NL"/>
        </w:rPr>
        <w:t xml:space="preserve"> vastgesteld dat de concurrentiegerichte dialoog betere</w:t>
      </w:r>
      <w:r w:rsidR="00B66044">
        <w:rPr>
          <w:rStyle w:val="normaltextrun"/>
          <w:color w:val="000000"/>
          <w:lang w:val="nl-NL"/>
        </w:rPr>
        <w:t>, meer betrouwbare</w:t>
      </w:r>
      <w:r w:rsidR="0050081E">
        <w:rPr>
          <w:rStyle w:val="normaltextrun"/>
          <w:color w:val="000000"/>
          <w:lang w:val="nl-NL"/>
        </w:rPr>
        <w:t xml:space="preserve"> resultaten oplevert </w:t>
      </w:r>
      <w:r w:rsidR="00167749">
        <w:rPr>
          <w:rStyle w:val="normaltextrun"/>
          <w:color w:val="000000"/>
          <w:lang w:val="nl-NL"/>
        </w:rPr>
        <w:t xml:space="preserve">dan een </w:t>
      </w:r>
      <w:r w:rsidR="00C54620">
        <w:rPr>
          <w:rStyle w:val="normaltextrun"/>
          <w:color w:val="000000"/>
          <w:lang w:val="nl-NL"/>
        </w:rPr>
        <w:t xml:space="preserve">voorafgaande </w:t>
      </w:r>
      <w:r w:rsidR="00167749">
        <w:rPr>
          <w:rStyle w:val="normaltextrun"/>
          <w:color w:val="000000"/>
          <w:lang w:val="nl-NL"/>
        </w:rPr>
        <w:t>markt</w:t>
      </w:r>
      <w:r w:rsidR="00C54620">
        <w:rPr>
          <w:rStyle w:val="normaltextrun"/>
          <w:color w:val="000000"/>
          <w:lang w:val="nl-NL"/>
        </w:rPr>
        <w:t>consulatie (</w:t>
      </w:r>
      <w:r w:rsidR="00167749">
        <w:rPr>
          <w:rStyle w:val="normaltextrun"/>
          <w:color w:val="000000"/>
          <w:lang w:val="nl-NL"/>
        </w:rPr>
        <w:t xml:space="preserve">in combinatie </w:t>
      </w:r>
      <w:r w:rsidR="00CF4EC1">
        <w:rPr>
          <w:rStyle w:val="normaltextrun"/>
          <w:color w:val="000000"/>
          <w:lang w:val="nl-NL"/>
        </w:rPr>
        <w:t>met</w:t>
      </w:r>
      <w:r w:rsidR="00C54620">
        <w:rPr>
          <w:rStyle w:val="normaltextrun"/>
          <w:color w:val="000000"/>
          <w:lang w:val="nl-NL"/>
        </w:rPr>
        <w:t xml:space="preserve"> een andere procedure,</w:t>
      </w:r>
      <w:r w:rsidR="00CF4EC1">
        <w:rPr>
          <w:rStyle w:val="normaltextrun"/>
          <w:color w:val="000000"/>
          <w:lang w:val="nl-NL"/>
        </w:rPr>
        <w:t xml:space="preserve"> </w:t>
      </w:r>
      <w:r w:rsidR="00C54620">
        <w:rPr>
          <w:rStyle w:val="normaltextrun"/>
          <w:color w:val="000000"/>
          <w:lang w:val="nl-NL"/>
        </w:rPr>
        <w:t>bijvoorbeeld de openbare).</w:t>
      </w:r>
    </w:p>
    <w:p w14:paraId="577E505E" w14:textId="599DEEA0" w:rsidR="008C5ABF" w:rsidRPr="00F35CFA" w:rsidRDefault="008C5ABF" w:rsidP="00901586">
      <w:pPr>
        <w:pStyle w:val="Kop4"/>
        <w:rPr>
          <w:lang w:val="nl-BE"/>
        </w:rPr>
      </w:pPr>
      <w:r>
        <w:rPr>
          <w:lang w:val="nl-BE"/>
        </w:rPr>
        <w:t>3</w:t>
      </w:r>
      <w:r w:rsidRPr="00F35CFA">
        <w:rPr>
          <w:lang w:val="nl-BE"/>
        </w:rPr>
        <w:t xml:space="preserve">. </w:t>
      </w:r>
      <w:r>
        <w:rPr>
          <w:lang w:val="nl-BE"/>
        </w:rPr>
        <w:t>Het innovatiepartnerschap</w:t>
      </w:r>
      <w:r w:rsidRPr="00F35CFA">
        <w:rPr>
          <w:lang w:val="nl-BE"/>
        </w:rPr>
        <w:t xml:space="preserve"> </w:t>
      </w:r>
    </w:p>
    <w:p w14:paraId="3D8B6295" w14:textId="77777777" w:rsidR="00801E4C" w:rsidRPr="00427309" w:rsidRDefault="00801E4C" w:rsidP="00801E4C">
      <w:r w:rsidRPr="00427309">
        <w:rPr>
          <w:rStyle w:val="normaltextrun"/>
          <w:color w:val="000000"/>
          <w:lang w:val="nl-NL"/>
        </w:rPr>
        <w:t xml:space="preserve">De bedoeling van </w:t>
      </w:r>
      <w:r>
        <w:rPr>
          <w:rStyle w:val="normaltextrun"/>
          <w:color w:val="000000"/>
          <w:lang w:val="nl-NL"/>
        </w:rPr>
        <w:t xml:space="preserve">het </w:t>
      </w:r>
      <w:r w:rsidDel="007F45A3">
        <w:rPr>
          <w:rStyle w:val="normaltextrun"/>
          <w:color w:val="000000"/>
          <w:lang w:val="nl-NL"/>
        </w:rPr>
        <w:t>innovatiepartnerschap</w:t>
      </w:r>
      <w:r>
        <w:rPr>
          <w:rStyle w:val="normaltextrun"/>
          <w:color w:val="000000"/>
          <w:lang w:val="nl-NL"/>
        </w:rPr>
        <w:t>,</w:t>
      </w:r>
      <w:r w:rsidDel="007F45A3">
        <w:rPr>
          <w:rStyle w:val="normaltextrun"/>
          <w:color w:val="000000"/>
          <w:lang w:val="nl-NL"/>
        </w:rPr>
        <w:t xml:space="preserve"> een procedure </w:t>
      </w:r>
      <w:r>
        <w:rPr>
          <w:rStyle w:val="normaltextrun"/>
          <w:color w:val="000000"/>
          <w:lang w:val="nl-NL"/>
        </w:rPr>
        <w:t>beschikbaar sinds</w:t>
      </w:r>
      <w:r w:rsidDel="007F45A3">
        <w:rPr>
          <w:rStyle w:val="normaltextrun"/>
          <w:color w:val="000000"/>
          <w:lang w:val="nl-NL"/>
        </w:rPr>
        <w:t xml:space="preserve"> de </w:t>
      </w:r>
      <w:r>
        <w:rPr>
          <w:rStyle w:val="normaltextrun"/>
          <w:color w:val="000000"/>
          <w:lang w:val="nl-NL"/>
        </w:rPr>
        <w:t>wet van 17  juni 2016,</w:t>
      </w:r>
      <w:r w:rsidRPr="00427309">
        <w:rPr>
          <w:rStyle w:val="normaltextrun"/>
          <w:color w:val="000000"/>
          <w:lang w:val="nl-NL"/>
        </w:rPr>
        <w:t xml:space="preserve"> is om, daar waar mogelijk, </w:t>
      </w:r>
      <w:r w:rsidRPr="00455E07">
        <w:rPr>
          <w:rStyle w:val="normaltextrun"/>
          <w:b/>
          <w:color w:val="000000"/>
          <w:lang w:val="nl-NL"/>
        </w:rPr>
        <w:t>geen afzonderlijke procedures meer te moeten voeren voor</w:t>
      </w:r>
      <w:r w:rsidRPr="00427309">
        <w:rPr>
          <w:rStyle w:val="normaltextrun"/>
          <w:color w:val="000000"/>
          <w:lang w:val="nl-NL"/>
        </w:rPr>
        <w:t>:</w:t>
      </w:r>
      <w:r w:rsidRPr="00427309">
        <w:rPr>
          <w:rStyle w:val="eop"/>
          <w:color w:val="000000"/>
        </w:rPr>
        <w:t> </w:t>
      </w:r>
    </w:p>
    <w:p w14:paraId="2751BDA1" w14:textId="77777777" w:rsidR="00801E4C" w:rsidRPr="003D5EFD" w:rsidRDefault="00801E4C">
      <w:pPr>
        <w:pStyle w:val="Bullet1"/>
        <w:rPr>
          <w:lang w:val="nl-BE"/>
        </w:rPr>
      </w:pPr>
      <w:r w:rsidRPr="00427309">
        <w:rPr>
          <w:rStyle w:val="normaltextrun"/>
          <w:color w:val="000000"/>
          <w:lang w:val="nl-NL"/>
        </w:rPr>
        <w:t>eerst een ontwikkelingstraject in de zin van “onderzoek en ontwikkeling”;</w:t>
      </w:r>
      <w:r w:rsidRPr="003D5EFD">
        <w:rPr>
          <w:rStyle w:val="eop"/>
          <w:color w:val="000000"/>
          <w:lang w:val="nl-BE"/>
        </w:rPr>
        <w:t> </w:t>
      </w:r>
    </w:p>
    <w:p w14:paraId="2DBF91AF" w14:textId="72FA7096" w:rsidR="00801E4C" w:rsidRPr="00801E4C" w:rsidRDefault="00801E4C">
      <w:pPr>
        <w:pStyle w:val="Bullet1"/>
        <w:rPr>
          <w:rStyle w:val="normaltextrun"/>
          <w:lang w:val="nl-BE"/>
        </w:rPr>
      </w:pPr>
      <w:r w:rsidRPr="00427309">
        <w:rPr>
          <w:rStyle w:val="normaltextrun"/>
          <w:color w:val="000000"/>
          <w:lang w:val="nl-NL"/>
        </w:rPr>
        <w:t>en vervolgens een aanbestedingstraject om de werken, leveringen of diensten te verwerven die het resultaat waren van het eerste ontwikkelingstraject.</w:t>
      </w:r>
      <w:r w:rsidRPr="003D5EFD">
        <w:rPr>
          <w:rStyle w:val="eop"/>
          <w:color w:val="000000"/>
          <w:lang w:val="nl-BE"/>
        </w:rPr>
        <w:t> </w:t>
      </w:r>
    </w:p>
    <w:p w14:paraId="49D93F3F" w14:textId="54FBF5A6" w:rsidR="00801E4C" w:rsidRPr="00801E4C" w:rsidRDefault="00801E4C" w:rsidP="00801E4C">
      <w:pPr>
        <w:rPr>
          <w:color w:val="000000"/>
        </w:rPr>
      </w:pPr>
      <w:r w:rsidRPr="00427309">
        <w:rPr>
          <w:rStyle w:val="normaltextrun"/>
          <w:color w:val="000000"/>
          <w:lang w:val="nl-NL"/>
        </w:rPr>
        <w:t>In het innovatiepartnerschap wordt dus na afloop van de onderzoeks- en ontwikkelingsfase, in de loop van eenzelfde procedure, de opdracht voor de realisatie van het werk, de leveringen of diensten aan een of meerdere ondernemers toevertrouwd.</w:t>
      </w:r>
      <w:r w:rsidRPr="00427309">
        <w:rPr>
          <w:rStyle w:val="eop"/>
          <w:color w:val="000000"/>
        </w:rPr>
        <w:t> </w:t>
      </w:r>
      <w:r w:rsidRPr="00427309">
        <w:rPr>
          <w:rStyle w:val="normaltextrun"/>
          <w:b/>
          <w:color w:val="000000"/>
          <w:lang w:val="nl-NL"/>
        </w:rPr>
        <w:t xml:space="preserve">Het innovatiepartnerschap is </w:t>
      </w:r>
      <w:r w:rsidR="005F501D">
        <w:rPr>
          <w:rStyle w:val="normaltextrun"/>
          <w:b/>
          <w:bCs/>
          <w:color w:val="000000"/>
          <w:lang w:val="nl-NL"/>
        </w:rPr>
        <w:t>dus</w:t>
      </w:r>
      <w:r w:rsidRPr="00427309">
        <w:rPr>
          <w:rStyle w:val="normaltextrun"/>
          <w:b/>
          <w:color w:val="000000"/>
          <w:lang w:val="nl-NL"/>
        </w:rPr>
        <w:t xml:space="preserve"> bedoeld voor een meer “radicale” innovatie</w:t>
      </w:r>
      <w:r w:rsidRPr="00427309">
        <w:rPr>
          <w:rStyle w:val="normaltextrun"/>
          <w:b/>
          <w:bCs/>
          <w:color w:val="000000"/>
          <w:lang w:val="nl-NL"/>
        </w:rPr>
        <w:t xml:space="preserve"> dan d</w:t>
      </w:r>
      <w:r>
        <w:rPr>
          <w:rStyle w:val="normaltextrun"/>
          <w:b/>
          <w:bCs/>
          <w:color w:val="000000"/>
          <w:lang w:val="nl-NL"/>
        </w:rPr>
        <w:t>e vorm van innovatie</w:t>
      </w:r>
      <w:r>
        <w:rPr>
          <w:rStyle w:val="normaltextrun"/>
          <w:b/>
          <w:color w:val="000000"/>
          <w:lang w:val="nl-NL"/>
        </w:rPr>
        <w:t xml:space="preserve"> die </w:t>
      </w:r>
      <w:r>
        <w:rPr>
          <w:rStyle w:val="normaltextrun"/>
          <w:b/>
          <w:bCs/>
          <w:color w:val="000000"/>
          <w:lang w:val="nl-NL"/>
        </w:rPr>
        <w:t>beoogd wordt via</w:t>
      </w:r>
      <w:r w:rsidRPr="00427309">
        <w:rPr>
          <w:rStyle w:val="normaltextrun"/>
          <w:b/>
          <w:color w:val="000000"/>
          <w:lang w:val="nl-NL"/>
        </w:rPr>
        <w:t xml:space="preserve"> de mededingingsprocedure met onderhandeling of </w:t>
      </w:r>
      <w:r>
        <w:rPr>
          <w:rStyle w:val="normaltextrun"/>
          <w:b/>
          <w:bCs/>
          <w:color w:val="000000"/>
          <w:lang w:val="nl-NL"/>
        </w:rPr>
        <w:t xml:space="preserve">de </w:t>
      </w:r>
      <w:r w:rsidRPr="00427309">
        <w:rPr>
          <w:rStyle w:val="normaltextrun"/>
          <w:b/>
          <w:color w:val="000000"/>
          <w:lang w:val="nl-NL"/>
        </w:rPr>
        <w:t>concurrentiegerichte dialoog</w:t>
      </w:r>
      <w:r w:rsidRPr="00427309">
        <w:rPr>
          <w:rStyle w:val="normaltextrun"/>
          <w:color w:val="000000"/>
          <w:lang w:val="nl-NL"/>
        </w:rPr>
        <w:t>.</w:t>
      </w:r>
      <w:r w:rsidRPr="00427309">
        <w:rPr>
          <w:rStyle w:val="eop"/>
          <w:color w:val="000000"/>
        </w:rPr>
        <w:t> </w:t>
      </w:r>
    </w:p>
    <w:p w14:paraId="2E5C2483" w14:textId="77777777" w:rsidR="00801E4C" w:rsidRPr="008710A1" w:rsidRDefault="00801E4C" w:rsidP="00801E4C">
      <w:pPr>
        <w:rPr>
          <w:lang w:val="nl-NL"/>
        </w:rPr>
      </w:pPr>
      <w:r w:rsidRPr="00427309">
        <w:rPr>
          <w:rStyle w:val="normaltextrun"/>
          <w:color w:val="000000"/>
          <w:lang w:val="nl-NL"/>
        </w:rPr>
        <w:t xml:space="preserve">Innovatie </w:t>
      </w:r>
      <w:r>
        <w:rPr>
          <w:rStyle w:val="normaltextrun"/>
          <w:color w:val="000000"/>
          <w:lang w:val="nl-NL"/>
        </w:rPr>
        <w:t>wordt</w:t>
      </w:r>
      <w:r w:rsidRPr="00427309">
        <w:rPr>
          <w:rStyle w:val="normaltextrun"/>
          <w:color w:val="000000"/>
          <w:lang w:val="nl-NL"/>
        </w:rPr>
        <w:t xml:space="preserve"> </w:t>
      </w:r>
      <w:r>
        <w:rPr>
          <w:rStyle w:val="normaltextrun"/>
          <w:color w:val="000000"/>
          <w:lang w:val="nl-NL"/>
        </w:rPr>
        <w:t>in de wet overheidsopdrachten</w:t>
      </w:r>
      <w:r w:rsidDel="001A5846">
        <w:rPr>
          <w:rStyle w:val="normaltextrun"/>
          <w:color w:val="000000"/>
          <w:lang w:val="nl-NL"/>
        </w:rPr>
        <w:t xml:space="preserve"> </w:t>
      </w:r>
      <w:r w:rsidRPr="00427309">
        <w:rPr>
          <w:rStyle w:val="normaltextrun"/>
          <w:color w:val="000000"/>
          <w:lang w:val="nl-NL"/>
        </w:rPr>
        <w:t xml:space="preserve">gedefinieerd als </w:t>
      </w:r>
      <w:r w:rsidRPr="00427309">
        <w:rPr>
          <w:rStyle w:val="normaltextrun"/>
          <w:i/>
          <w:color w:val="000000"/>
          <w:lang w:val="nl-NL"/>
        </w:rPr>
        <w:t xml:space="preserve">de toepassing van een nieuw of </w:t>
      </w:r>
      <w:r w:rsidRPr="000B03E5">
        <w:rPr>
          <w:rStyle w:val="normaltextrun"/>
          <w:i/>
          <w:lang w:val="nl-NL"/>
        </w:rPr>
        <w:t>aanzienlijk v</w:t>
      </w:r>
      <w:r w:rsidRPr="00427309">
        <w:rPr>
          <w:rStyle w:val="normaltextrun"/>
          <w:i/>
          <w:color w:val="000000"/>
          <w:lang w:val="nl-NL"/>
        </w:rPr>
        <w:t>erbeterd product, een nieuwe of aanzienlijk verbeterde dienst of een nieuw of aanzienlijk verbeterd proces, waaronder, maar niet beperkt tot, productie- of bouwprocessen, een nieuwe verkoopmethode of een nieuwe organisatiemethode in de bedrijfsvoering, de organisatie op de werkvloer of de externe betrekkingen, onder meer om maatschappelijke problemen te helpen oplossen of de Europese strategie voor slimme, duurzame en inclusieve groei te ondersteunen</w:t>
      </w:r>
      <w:r>
        <w:rPr>
          <w:rStyle w:val="eop"/>
          <w:color w:val="000000"/>
          <w:lang w:val="nl-NL"/>
        </w:rPr>
        <w:t>.</w:t>
      </w:r>
    </w:p>
    <w:p w14:paraId="1D5EFE7F" w14:textId="5FCD7CAE" w:rsidR="006A2654" w:rsidRDefault="00801E4C" w:rsidP="00801E4C">
      <w:pPr>
        <w:rPr>
          <w:rStyle w:val="normaltextrun"/>
          <w:lang w:val="nl-NL"/>
        </w:rPr>
      </w:pPr>
      <w:r w:rsidRPr="00427309">
        <w:rPr>
          <w:rStyle w:val="normaltextrun"/>
          <w:lang w:val="nl-NL"/>
        </w:rPr>
        <w:t xml:space="preserve">“Ontwikkeling” heeft </w:t>
      </w:r>
      <w:r>
        <w:rPr>
          <w:rStyle w:val="normaltextrun"/>
          <w:lang w:val="nl-NL"/>
        </w:rPr>
        <w:t>in deze context</w:t>
      </w:r>
      <w:r w:rsidDel="00B95A9E">
        <w:rPr>
          <w:rStyle w:val="normaltextrun"/>
          <w:lang w:val="nl-NL"/>
        </w:rPr>
        <w:t xml:space="preserve"> </w:t>
      </w:r>
      <w:r w:rsidRPr="00427309">
        <w:rPr>
          <w:rStyle w:val="normaltextrun"/>
          <w:lang w:val="nl-NL"/>
        </w:rPr>
        <w:t xml:space="preserve">een andere betekenis dan in de gangbare vorm van bijvoorbeeld softwareontwikkeling. In het laatste geval gaat het meestal om het toepassen van gekende technieken en methodes om een </w:t>
      </w:r>
      <w:r>
        <w:rPr>
          <w:rStyle w:val="normaltextrun"/>
          <w:lang w:val="nl-NL"/>
        </w:rPr>
        <w:t xml:space="preserve">(nieuwe) </w:t>
      </w:r>
      <w:r w:rsidRPr="00427309">
        <w:rPr>
          <w:rStyle w:val="normaltextrun"/>
          <w:lang w:val="nl-NL"/>
        </w:rPr>
        <w:t xml:space="preserve">softwaretoepassing te bouwen. In zo’n geval zal een mededingingsprocedure met onderhandeling meestal voldoende geschikt zijn. </w:t>
      </w:r>
    </w:p>
    <w:p w14:paraId="0DE7E55D" w14:textId="5022B356" w:rsidR="00801E4C" w:rsidRPr="00427309" w:rsidRDefault="00801E4C" w:rsidP="00801E4C">
      <w:pPr>
        <w:rPr>
          <w:rStyle w:val="normaltextrun"/>
          <w:lang w:val="nl-NL"/>
        </w:rPr>
      </w:pPr>
      <w:r w:rsidRPr="00427309">
        <w:rPr>
          <w:rStyle w:val="normaltextrun"/>
          <w:lang w:val="nl-NL"/>
        </w:rPr>
        <w:t xml:space="preserve">Gaat het evenwel over </w:t>
      </w:r>
      <w:r w:rsidRPr="00392AFD">
        <w:rPr>
          <w:rStyle w:val="normaltextrun"/>
          <w:b/>
          <w:lang w:val="nl-NL"/>
        </w:rPr>
        <w:t>het onderzoek naar en het creëren van nieuwe kennis en nieuwe methodes die nog niet bestaan</w:t>
      </w:r>
      <w:r w:rsidRPr="00427309">
        <w:rPr>
          <w:rStyle w:val="normaltextrun"/>
          <w:lang w:val="nl-NL"/>
        </w:rPr>
        <w:t xml:space="preserve">, dan zijn dat argumenten die pleiten voor een innovatiepartnerschap. Bij het innovatiepartnerschap moet de </w:t>
      </w:r>
      <w:r w:rsidR="00BE3702">
        <w:rPr>
          <w:rStyle w:val="normaltextrun"/>
          <w:lang w:val="nl-NL"/>
        </w:rPr>
        <w:t>aanbesteder</w:t>
      </w:r>
      <w:r w:rsidRPr="00427309">
        <w:rPr>
          <w:rStyle w:val="normaltextrun"/>
          <w:lang w:val="nl-NL"/>
        </w:rPr>
        <w:t xml:space="preserve"> aangeven in de opdrachtdocumenten dat er behoefte is aan innovatieve producten, diensten of werken, en dat met de aanschaf van reeds op de markt beschikbare producten, diensten of werken niet in die behoefte kan worden voorzien. </w:t>
      </w:r>
      <w:r>
        <w:rPr>
          <w:rStyle w:val="normaltextrun"/>
          <w:lang w:val="nl-NL"/>
        </w:rPr>
        <w:t xml:space="preserve">Een grondige marktverkenning is dus (opnieuw) cruciaal. </w:t>
      </w:r>
      <w:r w:rsidRPr="00427309">
        <w:rPr>
          <w:rStyle w:val="normaltextrun"/>
          <w:lang w:val="nl-NL"/>
        </w:rPr>
        <w:t> </w:t>
      </w:r>
    </w:p>
    <w:p w14:paraId="64F3FF29" w14:textId="6BB93EE5" w:rsidR="00801E4C" w:rsidRDefault="00801E4C" w:rsidP="00801E4C">
      <w:pPr>
        <w:rPr>
          <w:rStyle w:val="normaltextrun"/>
          <w:lang w:val="nl-NL"/>
        </w:rPr>
      </w:pPr>
      <w:r w:rsidRPr="00427309">
        <w:rPr>
          <w:rStyle w:val="normaltextrun"/>
          <w:color w:val="000000"/>
          <w:lang w:val="nl-NL"/>
        </w:rPr>
        <w:t>Het innovatiepartnerschap wordt gestructureerd in opeenvolgende fasen die de</w:t>
      </w:r>
      <w:r w:rsidRPr="00427309">
        <w:rPr>
          <w:rStyle w:val="normaltextrun"/>
          <w:lang w:val="nl-NL"/>
        </w:rPr>
        <w:t xml:space="preserve"> diverse reeks stappen in het onderzoeks- en innovatieproces volgen, hetgeen de fabricage van goederen, de verlening van diensten of de voltooiing van werken kan omvatten. In het innovatiepartnerschap worden tussentijdse, door de partners te bereiken, doelen bepaald, en wordt voorzien in</w:t>
      </w:r>
      <w:r>
        <w:rPr>
          <w:rStyle w:val="normaltextrun"/>
          <w:lang w:val="nl-NL"/>
        </w:rPr>
        <w:t xml:space="preserve"> de</w:t>
      </w:r>
      <w:r w:rsidRPr="00427309">
        <w:rPr>
          <w:rStyle w:val="normaltextrun"/>
          <w:lang w:val="nl-NL"/>
        </w:rPr>
        <w:t xml:space="preserve"> betaling van een </w:t>
      </w:r>
      <w:r w:rsidRPr="00DE74B6">
        <w:rPr>
          <w:rStyle w:val="normaltextrun"/>
          <w:i/>
          <w:iCs/>
          <w:lang w:val="nl-NL"/>
        </w:rPr>
        <w:t>vergoeding</w:t>
      </w:r>
      <w:r w:rsidRPr="00427309">
        <w:rPr>
          <w:rStyle w:val="normaltextrun"/>
          <w:lang w:val="nl-NL"/>
        </w:rPr>
        <w:t xml:space="preserve"> in passende termijnen. </w:t>
      </w:r>
    </w:p>
    <w:p w14:paraId="2FC7E9DC" w14:textId="77777777" w:rsidR="0038089E" w:rsidRDefault="00801E4C" w:rsidP="00594E2D">
      <w:pPr>
        <w:rPr>
          <w:rStyle w:val="normaltextrun"/>
          <w:lang w:val="nl-NL"/>
        </w:rPr>
      </w:pPr>
      <w:r>
        <w:rPr>
          <w:rStyle w:val="normaltextrun"/>
          <w:lang w:val="nl-NL"/>
        </w:rPr>
        <w:t xml:space="preserve">Tot slot mag de aanbesteder </w:t>
      </w:r>
      <w:r w:rsidRPr="00427309">
        <w:rPr>
          <w:rStyle w:val="normaltextrun"/>
          <w:lang w:val="nl-NL"/>
        </w:rPr>
        <w:t>deze procedure niet gebruiken om de mededinging te verhinderen, te beperken of te vervalsen. In bepaalde gevallen kan de vorming van innovatiepartnerschappen met verschillende partners dergelijke effecten overigens helpen voorkomen</w:t>
      </w:r>
      <w:r w:rsidR="00594E2D">
        <w:rPr>
          <w:rStyle w:val="normaltextrun"/>
          <w:lang w:val="nl-NL"/>
        </w:rPr>
        <w:t>.</w:t>
      </w:r>
    </w:p>
    <w:p w14:paraId="48D63CD8" w14:textId="77777777" w:rsidR="00393789" w:rsidRDefault="0038089E" w:rsidP="0038089E">
      <w:pPr>
        <w:pStyle w:val="Kop4"/>
        <w:rPr>
          <w:rStyle w:val="normaltextrun"/>
          <w:lang w:val="nl-NL"/>
        </w:rPr>
      </w:pPr>
      <w:r>
        <w:rPr>
          <w:rStyle w:val="normaltextrun"/>
          <w:lang w:val="nl-NL"/>
        </w:rPr>
        <w:t>Vergoeding</w:t>
      </w:r>
    </w:p>
    <w:p w14:paraId="10855DF2" w14:textId="2EC74EAC" w:rsidR="00961889" w:rsidRDefault="00AA3AE4" w:rsidP="00961889">
      <w:pPr>
        <w:rPr>
          <w:rStyle w:val="normaltextrun"/>
          <w:lang w:val="nl-NL"/>
        </w:rPr>
      </w:pPr>
      <w:r>
        <w:rPr>
          <w:rStyle w:val="normaltextrun"/>
          <w:lang w:val="nl-NL"/>
        </w:rPr>
        <w:t>D</w:t>
      </w:r>
      <w:r w:rsidR="000E1098">
        <w:rPr>
          <w:rStyle w:val="normaltextrun"/>
          <w:lang w:val="nl-NL"/>
        </w:rPr>
        <w:t>e</w:t>
      </w:r>
      <w:r w:rsidR="00507BA9">
        <w:rPr>
          <w:rStyle w:val="normaltextrun"/>
          <w:lang w:val="nl-NL"/>
        </w:rPr>
        <w:t xml:space="preserve"> inspanningen en prestaties die dergelijke procedures kunnen vergen</w:t>
      </w:r>
      <w:r w:rsidR="000C55C6">
        <w:rPr>
          <w:rStyle w:val="normaltextrun"/>
          <w:lang w:val="nl-NL"/>
        </w:rPr>
        <w:t xml:space="preserve"> van de deelnemers</w:t>
      </w:r>
      <w:r w:rsidR="00507BA9">
        <w:rPr>
          <w:rStyle w:val="normaltextrun"/>
          <w:lang w:val="nl-NL"/>
        </w:rPr>
        <w:t xml:space="preserve"> mogen</w:t>
      </w:r>
      <w:r w:rsidR="00961889" w:rsidRPr="00427309">
        <w:rPr>
          <w:rStyle w:val="normaltextrun"/>
          <w:lang w:val="nl-NL"/>
        </w:rPr>
        <w:t xml:space="preserve"> niet worden onderschat</w:t>
      </w:r>
      <w:r w:rsidR="00961889">
        <w:rPr>
          <w:rStyle w:val="normaltextrun"/>
          <w:lang w:val="nl-NL"/>
        </w:rPr>
        <w:t xml:space="preserve">. </w:t>
      </w:r>
    </w:p>
    <w:p w14:paraId="6771D72A" w14:textId="20018339" w:rsidR="00961889" w:rsidRDefault="00961889" w:rsidP="00961889">
      <w:pPr>
        <w:rPr>
          <w:rStyle w:val="normaltextrun"/>
          <w:lang w:val="nl-NL"/>
        </w:rPr>
      </w:pPr>
      <w:r w:rsidRPr="001A18AD">
        <w:rPr>
          <w:rStyle w:val="normaltextrun"/>
          <w:lang w:val="nl-NL"/>
        </w:rPr>
        <w:t xml:space="preserve">Vandaar dat </w:t>
      </w:r>
      <w:r w:rsidR="00527BA5">
        <w:rPr>
          <w:rStyle w:val="normaltextrun"/>
          <w:lang w:val="nl-NL"/>
        </w:rPr>
        <w:t xml:space="preserve">enerzijds </w:t>
      </w:r>
      <w:r w:rsidRPr="001A18AD">
        <w:rPr>
          <w:rStyle w:val="normaltextrun"/>
          <w:lang w:val="nl-NL"/>
        </w:rPr>
        <w:t>bij het innovatiepartnerschap en de concurrentiegerichte dialoog de wetgeving tegemoetkomingen voorziet (prijzengeld, vergoedingen)</w:t>
      </w:r>
      <w:r w:rsidRPr="00427309">
        <w:rPr>
          <w:rStyle w:val="normaltextrun"/>
          <w:lang w:val="nl-NL"/>
        </w:rPr>
        <w:t xml:space="preserve"> die in de opdrachtdocumenten (kunnen) worden opgenomen. </w:t>
      </w:r>
      <w:r w:rsidRPr="0008782F">
        <w:rPr>
          <w:rStyle w:val="normaltextrun"/>
          <w:lang w:val="nl-NL"/>
        </w:rPr>
        <w:t xml:space="preserve">Overigens </w:t>
      </w:r>
      <w:r>
        <w:rPr>
          <w:rStyle w:val="normaltextrun"/>
          <w:lang w:val="nl-NL"/>
        </w:rPr>
        <w:t>kan</w:t>
      </w:r>
      <w:r w:rsidRPr="0008782F">
        <w:rPr>
          <w:rStyle w:val="normaltextrun"/>
          <w:lang w:val="nl-NL"/>
        </w:rPr>
        <w:t>, uitzonderlijk, eveneens in een vergoeding</w:t>
      </w:r>
      <w:r>
        <w:rPr>
          <w:rStyle w:val="normaltextrun"/>
          <w:lang w:val="nl-NL"/>
        </w:rPr>
        <w:t xml:space="preserve"> </w:t>
      </w:r>
      <w:r w:rsidRPr="0008782F">
        <w:rPr>
          <w:rStyle w:val="normaltextrun"/>
          <w:lang w:val="nl-NL"/>
        </w:rPr>
        <w:t>worden voorzien wanneer gebruik wordt gemaakt</w:t>
      </w:r>
      <w:r>
        <w:rPr>
          <w:rStyle w:val="normaltextrun"/>
          <w:lang w:val="nl-NL"/>
        </w:rPr>
        <w:t xml:space="preserve"> </w:t>
      </w:r>
      <w:r w:rsidRPr="0008782F">
        <w:rPr>
          <w:rStyle w:val="normaltextrun"/>
          <w:lang w:val="nl-NL"/>
        </w:rPr>
        <w:t xml:space="preserve">van de mededingingsprocedure met onderhandeling. </w:t>
      </w:r>
    </w:p>
    <w:p w14:paraId="604523E1" w14:textId="155866B0" w:rsidR="008C5ABF" w:rsidRDefault="00961889" w:rsidP="00961889">
      <w:pPr>
        <w:rPr>
          <w:rStyle w:val="normaltextrun"/>
          <w:lang w:val="nl-NL"/>
        </w:rPr>
      </w:pPr>
      <w:r w:rsidRPr="00427309">
        <w:rPr>
          <w:rStyle w:val="normaltextrun"/>
          <w:lang w:val="nl-NL"/>
        </w:rPr>
        <w:lastRenderedPageBreak/>
        <w:t>Tegelijk moet worden vermeden dat ondernemingen vergoedingen zouden krijgen in een procedure voor een zogenaamde innovatieontwikkeling, waarbij die “innovatie” reeds elders op de markt door concurrenten, en dan misschien zelfs op eigen kosten, is ontwikkeld.</w:t>
      </w:r>
    </w:p>
    <w:p w14:paraId="6A068AE4" w14:textId="2688D482" w:rsidR="001571C2" w:rsidRDefault="001571C2" w:rsidP="00961889">
      <w:pPr>
        <w:rPr>
          <w:rStyle w:val="normaltextrun"/>
          <w:lang w:val="nl-NL"/>
        </w:rPr>
      </w:pPr>
      <w:r>
        <w:rPr>
          <w:rStyle w:val="normaltextrun"/>
          <w:lang w:val="nl-NL"/>
        </w:rPr>
        <w:t>Anderzijds zal toekomstige wetgeving</w:t>
      </w:r>
      <w:r w:rsidR="00D835A0">
        <w:rPr>
          <w:rStyle w:val="normaltextrun"/>
          <w:lang w:val="nl-NL"/>
        </w:rPr>
        <w:t xml:space="preserve"> overheidsopdrachten</w:t>
      </w:r>
      <w:r>
        <w:rPr>
          <w:rStyle w:val="normaltextrun"/>
          <w:lang w:val="nl-NL"/>
        </w:rPr>
        <w:t xml:space="preserve"> </w:t>
      </w:r>
      <w:r w:rsidR="00AA60BC">
        <w:rPr>
          <w:rStyle w:val="normaltextrun"/>
          <w:lang w:val="nl-NL"/>
        </w:rPr>
        <w:t xml:space="preserve">eveneens voorzien in </w:t>
      </w:r>
      <w:r w:rsidR="00F458D4">
        <w:rPr>
          <w:rStyle w:val="normaltextrun"/>
          <w:lang w:val="nl-NL"/>
        </w:rPr>
        <w:t>de verplichte toekenning van een</w:t>
      </w:r>
      <w:r w:rsidR="00AA60BC">
        <w:rPr>
          <w:rStyle w:val="normaltextrun"/>
          <w:lang w:val="nl-NL"/>
        </w:rPr>
        <w:t xml:space="preserve"> biedvergoeding </w:t>
      </w:r>
      <w:r w:rsidR="00F458D4" w:rsidRPr="00F458D4">
        <w:rPr>
          <w:rStyle w:val="normaltextrun"/>
          <w:lang w:val="nl-NL"/>
        </w:rPr>
        <w:t>in een aantal gevallen en voor een aantal procedures.</w:t>
      </w:r>
    </w:p>
    <w:p w14:paraId="3450E93F" w14:textId="4B511A5C" w:rsidR="003245A2" w:rsidRDefault="003245A2" w:rsidP="00961889">
      <w:pPr>
        <w:rPr>
          <w:rStyle w:val="normaltextrun"/>
          <w:lang w:val="nl-NL"/>
        </w:rPr>
      </w:pPr>
      <w:r>
        <w:rPr>
          <w:rStyle w:val="normaltextrun"/>
          <w:lang w:val="nl-NL"/>
        </w:rPr>
        <w:t>Voor meer informatie over het aspect “vergoeding”: zie principe 8.</w:t>
      </w:r>
    </w:p>
    <w:p w14:paraId="0323A065" w14:textId="64B54185" w:rsidR="00594E2D" w:rsidRPr="00F042C8" w:rsidRDefault="00594E2D" w:rsidP="00594E2D">
      <w:pPr>
        <w:pStyle w:val="Kop4"/>
        <w:rPr>
          <w:lang w:val="nl-BE"/>
        </w:rPr>
      </w:pPr>
      <w:r w:rsidRPr="00F042C8">
        <w:rPr>
          <w:lang w:val="nl-BE"/>
        </w:rPr>
        <w:t>Besluit</w:t>
      </w:r>
    </w:p>
    <w:p w14:paraId="22376B19" w14:textId="77777777" w:rsidR="00F042C8" w:rsidRPr="00427309" w:rsidRDefault="00F042C8" w:rsidP="00BB0EFF">
      <w:pPr>
        <w:rPr>
          <w:rStyle w:val="normaltextrun"/>
          <w:lang w:val="nl-NL"/>
        </w:rPr>
      </w:pPr>
      <w:r w:rsidRPr="00427309">
        <w:rPr>
          <w:rStyle w:val="normaltextrun"/>
          <w:lang w:val="nl-NL"/>
        </w:rPr>
        <w:t xml:space="preserve">Voor opdrachten waarvan de geraamde waarde de drempel voor de Europese bekendmaking bereikt, is er in de klassieke sectoren niet veel ruimte om voor courante </w:t>
      </w:r>
      <w:r w:rsidRPr="00AA2F93">
        <w:rPr>
          <w:rStyle w:val="normaltextrun"/>
          <w:i/>
          <w:lang w:val="nl-NL"/>
        </w:rPr>
        <w:t>off the shelf</w:t>
      </w:r>
      <w:r w:rsidRPr="00427309">
        <w:rPr>
          <w:rStyle w:val="normaltextrun"/>
          <w:lang w:val="nl-NL"/>
        </w:rPr>
        <w:t xml:space="preserve">-prestaties een procedure met onderhandelingen te gebruiken. </w:t>
      </w:r>
    </w:p>
    <w:p w14:paraId="020D38A3" w14:textId="62090C85" w:rsidR="00F042C8" w:rsidRDefault="00F042C8" w:rsidP="00BB0EFF">
      <w:pPr>
        <w:rPr>
          <w:rStyle w:val="normaltextrun"/>
          <w:lang w:val="nl-NL"/>
        </w:rPr>
      </w:pPr>
      <w:r>
        <w:rPr>
          <w:rStyle w:val="normaltextrun"/>
          <w:lang w:val="nl-NL"/>
        </w:rPr>
        <w:t>B</w:t>
      </w:r>
      <w:r w:rsidRPr="00427309">
        <w:rPr>
          <w:rStyle w:val="normaltextrun"/>
          <w:lang w:val="nl-NL"/>
        </w:rPr>
        <w:t>ij innovatieve projecten</w:t>
      </w:r>
      <w:r>
        <w:rPr>
          <w:rStyle w:val="normaltextrun"/>
          <w:lang w:val="nl-NL"/>
        </w:rPr>
        <w:t xml:space="preserve"> daarentegen,</w:t>
      </w:r>
      <w:r w:rsidRPr="00427309">
        <w:rPr>
          <w:rStyle w:val="normaltextrun"/>
          <w:lang w:val="nl-NL"/>
        </w:rPr>
        <w:t xml:space="preserve"> zoals </w:t>
      </w:r>
      <w:r w:rsidR="00523826" w:rsidRPr="00427309">
        <w:rPr>
          <w:rStyle w:val="normaltextrun"/>
          <w:lang w:val="nl-NL"/>
        </w:rPr>
        <w:t>projecten met een complexe en gestructureerde financiering</w:t>
      </w:r>
      <w:r w:rsidR="00523826">
        <w:rPr>
          <w:rStyle w:val="normaltextrun"/>
          <w:lang w:val="nl-NL"/>
        </w:rPr>
        <w:t>,</w:t>
      </w:r>
      <w:r w:rsidR="00523826" w:rsidRPr="00427309">
        <w:rPr>
          <w:rStyle w:val="normaltextrun"/>
          <w:lang w:val="nl-NL"/>
        </w:rPr>
        <w:t xml:space="preserve"> </w:t>
      </w:r>
      <w:r w:rsidRPr="00427309">
        <w:rPr>
          <w:rStyle w:val="normaltextrun"/>
          <w:lang w:val="nl-NL"/>
        </w:rPr>
        <w:t>de uitvoering van omvangrijke infrastructuurprojecten, of bij de ontwikkeling van innovatieve producten, diensten of werken met daaropvolgende aankoop ervan, is het gebruik van een van de hiervoor vermelde procedures met onderhandelingen of dialoog aangewezen. </w:t>
      </w:r>
    </w:p>
    <w:p w14:paraId="554A0314" w14:textId="40BEAEAD" w:rsidR="00F042C8" w:rsidRPr="001A18AD" w:rsidRDefault="00F042C8" w:rsidP="00961889">
      <w:pPr>
        <w:rPr>
          <w:rStyle w:val="normaltextrun"/>
          <w:b/>
          <w:lang w:val="nl-NL"/>
        </w:rPr>
      </w:pPr>
      <w:r w:rsidRPr="00427309">
        <w:rPr>
          <w:rStyle w:val="normaltextrun"/>
          <w:lang w:val="nl-NL"/>
        </w:rPr>
        <w:t xml:space="preserve">De </w:t>
      </w:r>
      <w:r w:rsidR="009770C3">
        <w:rPr>
          <w:rStyle w:val="normaltextrun"/>
          <w:lang w:val="nl-NL"/>
        </w:rPr>
        <w:t>aanbesteder</w:t>
      </w:r>
      <w:r w:rsidRPr="00427309">
        <w:rPr>
          <w:rStyle w:val="normaltextrun"/>
          <w:lang w:val="nl-NL"/>
        </w:rPr>
        <w:t xml:space="preserve"> zal de voorwaarden voor het gebruik van de genoemde procedures eerst gedegen moeten aftoetsen, om dan na te gaan in welke mate onderhandelingen of een dialoog vereist zijn en welke procedure de meest efficiënte en effectieve is. </w:t>
      </w:r>
      <w:r w:rsidRPr="00427309">
        <w:rPr>
          <w:rStyle w:val="normaltextrun"/>
          <w:b/>
          <w:lang w:val="nl-NL"/>
        </w:rPr>
        <w:t xml:space="preserve">Een voorafgaand marktonderzoek </w:t>
      </w:r>
      <w:r w:rsidRPr="001A18AD">
        <w:rPr>
          <w:rStyle w:val="normaltextrun"/>
          <w:b/>
          <w:lang w:val="nl-NL"/>
        </w:rPr>
        <w:t>is dan ook erg belangrijk om een gepaste keuze tussen</w:t>
      </w:r>
      <w:r w:rsidRPr="001A18AD">
        <w:rPr>
          <w:rStyle w:val="normaltextrun"/>
          <w:b/>
          <w:color w:val="000000"/>
          <w:lang w:val="nl-NL"/>
        </w:rPr>
        <w:t xml:space="preserve"> de procedures te kunnen maken. </w:t>
      </w:r>
      <w:r w:rsidRPr="001A18AD">
        <w:rPr>
          <w:rStyle w:val="normaltextrun"/>
          <w:b/>
          <w:lang w:val="nl-NL"/>
        </w:rPr>
        <w:t xml:space="preserve">Zie principe </w:t>
      </w:r>
      <w:r w:rsidRPr="001A18AD">
        <w:rPr>
          <w:rStyle w:val="normaltextrun"/>
          <w:b/>
          <w:bCs/>
          <w:lang w:val="nl-NL"/>
        </w:rPr>
        <w:t>2</w:t>
      </w:r>
      <w:r w:rsidRPr="001A18AD">
        <w:rPr>
          <w:rStyle w:val="normaltextrun"/>
          <w:b/>
          <w:lang w:val="nl-NL"/>
        </w:rPr>
        <w:t xml:space="preserve"> voor meer informatie over hoe de markt </w:t>
      </w:r>
      <w:r w:rsidRPr="001A18AD">
        <w:rPr>
          <w:rStyle w:val="normaltextrun"/>
          <w:b/>
          <w:bCs/>
          <w:lang w:val="nl-NL"/>
        </w:rPr>
        <w:t xml:space="preserve">correct </w:t>
      </w:r>
      <w:r w:rsidRPr="001A18AD">
        <w:rPr>
          <w:rStyle w:val="normaltextrun"/>
          <w:b/>
          <w:lang w:val="nl-NL"/>
        </w:rPr>
        <w:t>verkend kan worden.</w:t>
      </w:r>
    </w:p>
    <w:p w14:paraId="683DC0AA" w14:textId="5782A1EE" w:rsidR="00752746" w:rsidRPr="00752746" w:rsidRDefault="00F042C8" w:rsidP="00752746">
      <w:pPr>
        <w:rPr>
          <w:b/>
          <w:lang w:val="nl-NL"/>
        </w:rPr>
      </w:pPr>
      <w:r w:rsidRPr="001A18AD">
        <w:rPr>
          <w:rStyle w:val="normaltextrun"/>
          <w:bCs/>
          <w:lang w:val="nl-NL"/>
        </w:rPr>
        <w:t xml:space="preserve">Inzake innovatiegericht aanbesteden kan tot slot verwezen worden naar de </w:t>
      </w:r>
      <w:hyperlink r:id="rId69" w:history="1">
        <w:r w:rsidRPr="001A18AD">
          <w:rPr>
            <w:rStyle w:val="Hyperlink"/>
            <w:bCs/>
            <w:lang w:val="nl-NL"/>
          </w:rPr>
          <w:t>richtsnoeren</w:t>
        </w:r>
      </w:hyperlink>
      <w:r w:rsidRPr="001A18AD">
        <w:rPr>
          <w:rStyle w:val="normaltextrun"/>
          <w:bCs/>
          <w:lang w:val="nl-NL"/>
        </w:rPr>
        <w:t xml:space="preserve"> van de Europese Commissie en naar principe </w:t>
      </w:r>
      <w:r w:rsidR="00A712F9" w:rsidRPr="001A18AD">
        <w:rPr>
          <w:rStyle w:val="normaltextrun"/>
          <w:bCs/>
          <w:lang w:val="nl-NL"/>
        </w:rPr>
        <w:t>5</w:t>
      </w:r>
      <w:r w:rsidRPr="001A18AD">
        <w:rPr>
          <w:rStyle w:val="normaltextrun"/>
          <w:bCs/>
          <w:lang w:val="nl-NL"/>
        </w:rPr>
        <w:t xml:space="preserve"> van</w:t>
      </w:r>
      <w:r w:rsidRPr="00F27D98">
        <w:rPr>
          <w:rStyle w:val="normaltextrun"/>
          <w:bCs/>
          <w:lang w:val="nl-NL"/>
        </w:rPr>
        <w:t xml:space="preserve"> dit charter over de verdeling van</w:t>
      </w:r>
      <w:r w:rsidR="00437DD9">
        <w:rPr>
          <w:rStyle w:val="normaltextrun"/>
          <w:bCs/>
          <w:lang w:val="nl-NL"/>
        </w:rPr>
        <w:t xml:space="preserve"> de</w:t>
      </w:r>
      <w:r w:rsidRPr="00F27D98">
        <w:rPr>
          <w:rStyle w:val="normaltextrun"/>
          <w:bCs/>
          <w:lang w:val="nl-NL"/>
        </w:rPr>
        <w:t xml:space="preserve"> intellectuele eigendomsrechten</w:t>
      </w:r>
      <w:r w:rsidRPr="00437DD9">
        <w:rPr>
          <w:rStyle w:val="normaltextrun"/>
          <w:bCs/>
          <w:lang w:val="nl-NL"/>
        </w:rPr>
        <w:t>.</w:t>
      </w:r>
      <w:r>
        <w:rPr>
          <w:rStyle w:val="normaltextrun"/>
          <w:b/>
          <w:lang w:val="nl-NL"/>
        </w:rPr>
        <w:t xml:space="preserve"> </w:t>
      </w:r>
    </w:p>
    <w:p w14:paraId="0B44D259" w14:textId="52C998AE" w:rsidR="00752746" w:rsidRDefault="00752746">
      <w:pPr>
        <w:pStyle w:val="Kop3"/>
      </w:pPr>
      <w:bookmarkStart w:id="57" w:name="_Toc135839949"/>
      <w:bookmarkStart w:id="58" w:name="_Toc150870554"/>
      <w:r>
        <w:t>Meerfasige procedures</w:t>
      </w:r>
      <w:r w:rsidRPr="00B77975">
        <w:t xml:space="preserve"> </w:t>
      </w:r>
      <w:r>
        <w:t>zonder</w:t>
      </w:r>
      <w:r w:rsidRPr="00B77975">
        <w:t xml:space="preserve"> </w:t>
      </w:r>
      <w:r>
        <w:t>onderhandeling of</w:t>
      </w:r>
      <w:r w:rsidRPr="00B77975">
        <w:t xml:space="preserve"> dialoo</w:t>
      </w:r>
      <w:r>
        <w:t>g</w:t>
      </w:r>
      <w:bookmarkEnd w:id="57"/>
      <w:r w:rsidR="00FA2AAB">
        <w:t>: de niet-openbare procedure</w:t>
      </w:r>
      <w:bookmarkEnd w:id="58"/>
    </w:p>
    <w:p w14:paraId="0D949852" w14:textId="7478F9E9" w:rsidR="005F3930" w:rsidRDefault="005F3930" w:rsidP="005F3930">
      <w:pPr>
        <w:rPr>
          <w:lang w:eastAsia="nl-BE"/>
        </w:rPr>
      </w:pPr>
      <w:r w:rsidRPr="00470689">
        <w:rPr>
          <w:lang w:eastAsia="nl-BE"/>
        </w:rPr>
        <w:t xml:space="preserve">De mededingingsprocedure met onderhandeling, de concurrentiegerichte dialoog en het innovatiepartnerschap </w:t>
      </w:r>
      <w:r w:rsidRPr="00470689" w:rsidDel="00F64310">
        <w:rPr>
          <w:lang w:eastAsia="nl-BE"/>
        </w:rPr>
        <w:t xml:space="preserve">zijn </w:t>
      </w:r>
      <w:r w:rsidRPr="00427309">
        <w:rPr>
          <w:lang w:eastAsia="nl-BE"/>
        </w:rPr>
        <w:t>meerfasige</w:t>
      </w:r>
      <w:r>
        <w:rPr>
          <w:lang w:eastAsia="nl-BE"/>
        </w:rPr>
        <w:t xml:space="preserve"> procedures</w:t>
      </w:r>
      <w:r w:rsidRPr="00470689" w:rsidDel="00F64310">
        <w:rPr>
          <w:lang w:eastAsia="nl-BE"/>
        </w:rPr>
        <w:t xml:space="preserve"> </w:t>
      </w:r>
      <w:r w:rsidRPr="00470689">
        <w:rPr>
          <w:lang w:eastAsia="nl-BE"/>
        </w:rPr>
        <w:t xml:space="preserve">met een heel specifieke aard. Zij worden </w:t>
      </w:r>
      <w:r>
        <w:rPr>
          <w:lang w:eastAsia="nl-BE"/>
        </w:rPr>
        <w:t>hierboven</w:t>
      </w:r>
      <w:r w:rsidRPr="00470689">
        <w:rPr>
          <w:lang w:eastAsia="nl-BE"/>
        </w:rPr>
        <w:t xml:space="preserve"> in </w:t>
      </w:r>
      <w:r>
        <w:rPr>
          <w:lang w:eastAsia="nl-BE"/>
        </w:rPr>
        <w:t>een apart deel</w:t>
      </w:r>
      <w:r w:rsidRPr="00470689">
        <w:rPr>
          <w:lang w:eastAsia="nl-BE"/>
        </w:rPr>
        <w:t xml:space="preserve"> meer in detail geduid omwille van de mogelijkheden inzake onderhandeling of dialoog die zij bieden.</w:t>
      </w:r>
      <w:r>
        <w:rPr>
          <w:lang w:eastAsia="nl-BE"/>
        </w:rPr>
        <w:t xml:space="preserve"> Z</w:t>
      </w:r>
      <w:r w:rsidRPr="00470689">
        <w:rPr>
          <w:lang w:eastAsia="nl-BE"/>
        </w:rPr>
        <w:t xml:space="preserve">ij zijn </w:t>
      </w:r>
      <w:r>
        <w:rPr>
          <w:lang w:eastAsia="nl-BE"/>
        </w:rPr>
        <w:t>dus</w:t>
      </w:r>
      <w:r w:rsidRPr="00470689">
        <w:rPr>
          <w:lang w:eastAsia="nl-BE"/>
        </w:rPr>
        <w:t xml:space="preserve"> interessant omwille van </w:t>
      </w:r>
      <w:r>
        <w:rPr>
          <w:lang w:eastAsia="nl-BE"/>
        </w:rPr>
        <w:t>twee redenen: de mogelijkheid tot</w:t>
      </w:r>
      <w:r w:rsidRPr="00427309">
        <w:rPr>
          <w:lang w:eastAsia="nl-BE"/>
        </w:rPr>
        <w:t xml:space="preserve"> </w:t>
      </w:r>
      <w:r w:rsidRPr="00470689">
        <w:rPr>
          <w:lang w:eastAsia="nl-BE"/>
        </w:rPr>
        <w:t>dialoog- of onderhandeling</w:t>
      </w:r>
      <w:r>
        <w:rPr>
          <w:lang w:eastAsia="nl-BE"/>
        </w:rPr>
        <w:t xml:space="preserve"> én</w:t>
      </w:r>
      <w:r w:rsidRPr="00470689">
        <w:rPr>
          <w:lang w:eastAsia="nl-BE"/>
        </w:rPr>
        <w:t xml:space="preserve"> omdat ze meer</w:t>
      </w:r>
      <w:r>
        <w:rPr>
          <w:lang w:eastAsia="nl-BE"/>
        </w:rPr>
        <w:t xml:space="preserve">fasige </w:t>
      </w:r>
      <w:r w:rsidRPr="00470689">
        <w:rPr>
          <w:lang w:eastAsia="nl-BE"/>
        </w:rPr>
        <w:t>procedures zijn. </w:t>
      </w:r>
    </w:p>
    <w:p w14:paraId="6FC1762E" w14:textId="1DE763F1" w:rsidR="005F3930" w:rsidRPr="00427309" w:rsidRDefault="005F3930" w:rsidP="005F3930">
      <w:pPr>
        <w:rPr>
          <w:lang w:eastAsia="nl-BE"/>
        </w:rPr>
      </w:pPr>
      <w:r>
        <w:rPr>
          <w:lang w:eastAsia="nl-BE"/>
        </w:rPr>
        <w:t xml:space="preserve">Naast die drie types procedures bestaat er ook de meerfasige procedure zonder onderhandeling of dialoog, namelijk de </w:t>
      </w:r>
      <w:r w:rsidRPr="00E22636">
        <w:rPr>
          <w:i/>
          <w:iCs/>
          <w:lang w:eastAsia="nl-BE"/>
        </w:rPr>
        <w:t>niet-openbare procedure</w:t>
      </w:r>
      <w:r>
        <w:rPr>
          <w:lang w:eastAsia="nl-BE"/>
        </w:rPr>
        <w:t>. Die laatste biedt evenwel nog steeds een aantal interessante voordelen.</w:t>
      </w:r>
    </w:p>
    <w:p w14:paraId="02735AB1" w14:textId="55E87A60" w:rsidR="005F3930" w:rsidRPr="00427309" w:rsidRDefault="005F3930" w:rsidP="005F3930">
      <w:pPr>
        <w:rPr>
          <w:lang w:eastAsia="nl-BE"/>
        </w:rPr>
      </w:pPr>
      <w:r w:rsidRPr="00470689">
        <w:rPr>
          <w:lang w:eastAsia="nl-BE"/>
        </w:rPr>
        <w:t xml:space="preserve">De </w:t>
      </w:r>
      <w:r w:rsidRPr="00E540FC">
        <w:rPr>
          <w:lang w:eastAsia="nl-BE"/>
        </w:rPr>
        <w:t>niet-openbare procedure</w:t>
      </w:r>
      <w:r w:rsidRPr="00470689">
        <w:rPr>
          <w:lang w:eastAsia="nl-BE"/>
        </w:rPr>
        <w:t xml:space="preserve"> is</w:t>
      </w:r>
      <w:r w:rsidR="00F0537F">
        <w:rPr>
          <w:lang w:eastAsia="nl-BE"/>
        </w:rPr>
        <w:t xml:space="preserve"> dus</w:t>
      </w:r>
      <w:r w:rsidRPr="00470689">
        <w:rPr>
          <w:lang w:eastAsia="nl-BE"/>
        </w:rPr>
        <w:t xml:space="preserve"> een gemeenrechtelijke </w:t>
      </w:r>
      <w:r w:rsidR="00917136">
        <w:rPr>
          <w:lang w:eastAsia="nl-BE"/>
        </w:rPr>
        <w:t>plaatsings</w:t>
      </w:r>
      <w:r w:rsidRPr="00470689">
        <w:rPr>
          <w:lang w:eastAsia="nl-BE"/>
        </w:rPr>
        <w:t>procedure, een aanbesteder kan er altijd van gebruik maken ongeacht het voorwerp en het geraamde bedrag van de opdracht. </w:t>
      </w:r>
    </w:p>
    <w:p w14:paraId="1E6AD6CD" w14:textId="77777777" w:rsidR="005F3930" w:rsidRDefault="005F3930" w:rsidP="005F3930">
      <w:pPr>
        <w:rPr>
          <w:lang w:eastAsia="nl-BE"/>
        </w:rPr>
      </w:pPr>
      <w:r w:rsidRPr="00427309">
        <w:rPr>
          <w:lang w:eastAsia="nl-BE"/>
        </w:rPr>
        <w:t xml:space="preserve">In principe is de keuze tussen openbare of niet-openbare procedures vrij. </w:t>
      </w:r>
    </w:p>
    <w:p w14:paraId="574EDCBC" w14:textId="77777777" w:rsidR="005F3930" w:rsidRDefault="005F3930" w:rsidP="005F3930">
      <w:pPr>
        <w:rPr>
          <w:lang w:eastAsia="nl-BE"/>
        </w:rPr>
      </w:pPr>
      <w:r w:rsidRPr="00F309CF">
        <w:rPr>
          <w:lang w:eastAsia="nl-BE"/>
        </w:rPr>
        <w:t xml:space="preserve">Algemeen gesteld levert de openbare procedure meestal tijdswinst op tegenover de niet-openbare procedure. De offertes worden immers in één </w:t>
      </w:r>
      <w:r>
        <w:rPr>
          <w:lang w:eastAsia="nl-BE"/>
        </w:rPr>
        <w:t>fase</w:t>
      </w:r>
      <w:r w:rsidRPr="00F309CF">
        <w:rPr>
          <w:lang w:eastAsia="nl-BE"/>
        </w:rPr>
        <w:t xml:space="preserve"> beoordeeld. </w:t>
      </w:r>
    </w:p>
    <w:p w14:paraId="5D1892B1" w14:textId="77777777" w:rsidR="004A3A20" w:rsidRDefault="005F3930" w:rsidP="005F3930">
      <w:pPr>
        <w:rPr>
          <w:lang w:eastAsia="nl-BE"/>
        </w:rPr>
      </w:pPr>
      <w:r>
        <w:rPr>
          <w:lang w:eastAsia="nl-BE"/>
        </w:rPr>
        <w:t>Tegelijk</w:t>
      </w:r>
      <w:r w:rsidRPr="00470689" w:rsidDel="00FA2182">
        <w:rPr>
          <w:lang w:eastAsia="nl-BE"/>
        </w:rPr>
        <w:t xml:space="preserve"> kan de</w:t>
      </w:r>
      <w:r w:rsidRPr="00470689">
        <w:rPr>
          <w:lang w:eastAsia="nl-BE"/>
        </w:rPr>
        <w:t xml:space="preserve"> </w:t>
      </w:r>
      <w:r w:rsidRPr="007A0EF2">
        <w:rPr>
          <w:b/>
          <w:lang w:eastAsia="nl-BE"/>
        </w:rPr>
        <w:t>niet-openbare procedure</w:t>
      </w:r>
      <w:r w:rsidRPr="00470689">
        <w:rPr>
          <w:lang w:eastAsia="nl-BE"/>
        </w:rPr>
        <w:t xml:space="preserve"> </w:t>
      </w:r>
      <w:r w:rsidRPr="002A03C8">
        <w:rPr>
          <w:b/>
          <w:bCs/>
          <w:lang w:eastAsia="nl-BE"/>
        </w:rPr>
        <w:t>wel degelijk</w:t>
      </w:r>
      <w:r w:rsidRPr="002A03C8">
        <w:rPr>
          <w:b/>
          <w:lang w:eastAsia="nl-BE"/>
        </w:rPr>
        <w:t xml:space="preserve"> tot een efficiëntievoordeel leiden</w:t>
      </w:r>
      <w:r w:rsidRPr="00470689">
        <w:rPr>
          <w:lang w:eastAsia="nl-BE"/>
        </w:rPr>
        <w:t xml:space="preserve">, zowel voor de aanbesteder als voor de </w:t>
      </w:r>
      <w:r w:rsidRPr="00427309">
        <w:rPr>
          <w:lang w:eastAsia="nl-BE"/>
        </w:rPr>
        <w:t>inschrijvers</w:t>
      </w:r>
      <w:r w:rsidRPr="00470689">
        <w:rPr>
          <w:lang w:eastAsia="nl-BE"/>
        </w:rPr>
        <w:t>, bijvoorbeeld wanneer zeer veel offertes verwacht worden. Dan kan de aanbesteder reeds een eerste beoordeling maken op basis van de aanvragen tot deelneming (selectie). Zo kan het aantal te onderzoeken offertes beperkt worden</w:t>
      </w:r>
      <w:r>
        <w:rPr>
          <w:lang w:eastAsia="nl-BE"/>
        </w:rPr>
        <w:t>, met een minimum van 5 offertes – zie eerder</w:t>
      </w:r>
      <w:r w:rsidRPr="00427309">
        <w:rPr>
          <w:lang w:eastAsia="nl-BE"/>
        </w:rPr>
        <w:t>.</w:t>
      </w:r>
      <w:r w:rsidRPr="00470689" w:rsidDel="007C65FC">
        <w:rPr>
          <w:lang w:eastAsia="nl-BE"/>
        </w:rPr>
        <w:t xml:space="preserve"> </w:t>
      </w:r>
      <w:r w:rsidRPr="00470689" w:rsidDel="004C084D">
        <w:rPr>
          <w:lang w:eastAsia="nl-BE"/>
        </w:rPr>
        <w:t xml:space="preserve">Ook in geval van complexe opdrachten met navenante offertes (en dus hoge kosten voor de ondernemingen, wat extra pijnlijk is voor kleinere </w:t>
      </w:r>
      <w:r w:rsidR="003F198B" w:rsidRPr="00470689" w:rsidDel="004C084D">
        <w:rPr>
          <w:lang w:eastAsia="nl-BE"/>
        </w:rPr>
        <w:t>onderneming</w:t>
      </w:r>
      <w:r w:rsidR="003F198B">
        <w:rPr>
          <w:lang w:eastAsia="nl-BE"/>
        </w:rPr>
        <w:t>en</w:t>
      </w:r>
      <w:r w:rsidRPr="00470689" w:rsidDel="004C084D">
        <w:rPr>
          <w:lang w:eastAsia="nl-BE"/>
        </w:rPr>
        <w:t>) k</w:t>
      </w:r>
      <w:r w:rsidR="003F198B">
        <w:rPr>
          <w:lang w:eastAsia="nl-BE"/>
        </w:rPr>
        <w:t>a</w:t>
      </w:r>
      <w:r w:rsidRPr="00470689" w:rsidDel="004C084D">
        <w:rPr>
          <w:lang w:eastAsia="nl-BE"/>
        </w:rPr>
        <w:t xml:space="preserve">n de niet-openbare procedure een meerwaarde </w:t>
      </w:r>
      <w:r>
        <w:rPr>
          <w:lang w:eastAsia="nl-BE"/>
        </w:rPr>
        <w:t>bieden</w:t>
      </w:r>
      <w:r w:rsidRPr="00470689" w:rsidDel="004C084D">
        <w:rPr>
          <w:lang w:eastAsia="nl-BE"/>
        </w:rPr>
        <w:t xml:space="preserve"> door de mogelijkheid om in bepaalde mate het aantal offertes te beperken.</w:t>
      </w:r>
      <w:r>
        <w:rPr>
          <w:lang w:eastAsia="nl-BE"/>
        </w:rPr>
        <w:t xml:space="preserve"> Op die manier worden de kansen verhoogd voor de geselecteerde ondernemingen en verspillen de niet-geselecteerde geen</w:t>
      </w:r>
      <w:r w:rsidR="00321032">
        <w:rPr>
          <w:lang w:eastAsia="nl-BE"/>
        </w:rPr>
        <w:t xml:space="preserve"> extra</w:t>
      </w:r>
      <w:r>
        <w:rPr>
          <w:lang w:eastAsia="nl-BE"/>
        </w:rPr>
        <w:t xml:space="preserve"> middelen.</w:t>
      </w:r>
    </w:p>
    <w:p w14:paraId="7D614A46" w14:textId="56EAAF75" w:rsidR="005F3930" w:rsidRDefault="004A3A20" w:rsidP="005F3930">
      <w:pPr>
        <w:rPr>
          <w:lang w:eastAsia="nl-BE"/>
        </w:rPr>
      </w:pPr>
      <w:r>
        <w:rPr>
          <w:lang w:eastAsia="nl-BE"/>
        </w:rPr>
        <w:t xml:space="preserve">Voor nuances inzake het beperken van het aantal geselecteerde </w:t>
      </w:r>
      <w:r w:rsidR="0036143F">
        <w:rPr>
          <w:lang w:eastAsia="nl-BE"/>
        </w:rPr>
        <w:t>ondernemingen (en andere) wordt verwezen naar punt 3.3.</w:t>
      </w:r>
      <w:r w:rsidR="00ED1A60">
        <w:rPr>
          <w:lang w:eastAsia="nl-BE"/>
        </w:rPr>
        <w:t>1.</w:t>
      </w:r>
    </w:p>
    <w:p w14:paraId="6A68D9C9" w14:textId="6022D42D" w:rsidR="005F3930" w:rsidDel="00FA7CDB" w:rsidRDefault="005F3930" w:rsidP="005F3930">
      <w:pPr>
        <w:rPr>
          <w:lang w:eastAsia="nl-BE"/>
        </w:rPr>
      </w:pPr>
      <w:r w:rsidRPr="00470689" w:rsidDel="00FA7CDB">
        <w:rPr>
          <w:lang w:eastAsia="nl-BE"/>
        </w:rPr>
        <w:lastRenderedPageBreak/>
        <w:t xml:space="preserve">Andere elementen die bij de keuze </w:t>
      </w:r>
      <w:r>
        <w:rPr>
          <w:lang w:eastAsia="nl-BE"/>
        </w:rPr>
        <w:t xml:space="preserve">van procedure </w:t>
      </w:r>
      <w:r w:rsidRPr="00470689" w:rsidDel="00FA7CDB">
        <w:rPr>
          <w:lang w:eastAsia="nl-BE"/>
        </w:rPr>
        <w:t>een rol kunnen spelen zijn onder andere de omvang en gevoeligheid van het bestek, de aard van de overheidsopdracht en het dringend</w:t>
      </w:r>
      <w:r w:rsidR="001B6B33">
        <w:rPr>
          <w:lang w:eastAsia="nl-BE"/>
        </w:rPr>
        <w:t>e</w:t>
      </w:r>
      <w:r w:rsidRPr="00470689" w:rsidDel="00FA7CDB">
        <w:rPr>
          <w:lang w:eastAsia="nl-BE"/>
        </w:rPr>
        <w:t xml:space="preserve"> karakter van de </w:t>
      </w:r>
      <w:r w:rsidRPr="00427309">
        <w:rPr>
          <w:lang w:eastAsia="nl-BE"/>
        </w:rPr>
        <w:t>opdracht.</w:t>
      </w:r>
      <w:r w:rsidRPr="00470689" w:rsidDel="00FA7CDB">
        <w:rPr>
          <w:lang w:eastAsia="nl-BE"/>
        </w:rPr>
        <w:t> </w:t>
      </w:r>
    </w:p>
    <w:p w14:paraId="18CFA754" w14:textId="71C2F231" w:rsidR="005F3930" w:rsidRDefault="005F3930" w:rsidP="005F3930">
      <w:pPr>
        <w:rPr>
          <w:lang w:eastAsia="nl-BE"/>
        </w:rPr>
      </w:pPr>
      <w:r w:rsidRPr="00470689">
        <w:rPr>
          <w:lang w:eastAsia="nl-BE"/>
        </w:rPr>
        <w:t xml:space="preserve">De niet-openbare procedure betreft </w:t>
      </w:r>
      <w:r w:rsidRPr="00470689" w:rsidDel="00FA7CDB">
        <w:rPr>
          <w:lang w:eastAsia="nl-BE"/>
        </w:rPr>
        <w:t xml:space="preserve">dus </w:t>
      </w:r>
      <w:r w:rsidRPr="00470689">
        <w:rPr>
          <w:lang w:eastAsia="nl-BE"/>
        </w:rPr>
        <w:t>een twee</w:t>
      </w:r>
      <w:r>
        <w:rPr>
          <w:lang w:eastAsia="nl-BE"/>
        </w:rPr>
        <w:t xml:space="preserve">fasige </w:t>
      </w:r>
      <w:r w:rsidRPr="00470689">
        <w:rPr>
          <w:lang w:eastAsia="nl-BE"/>
        </w:rPr>
        <w:t>procedure</w:t>
      </w:r>
      <w:r w:rsidR="00A54157">
        <w:rPr>
          <w:lang w:eastAsia="nl-BE"/>
        </w:rPr>
        <w:t>:</w:t>
      </w:r>
    </w:p>
    <w:p w14:paraId="7FE2B706" w14:textId="1E7119AD" w:rsidR="00A54157" w:rsidRPr="00A54157" w:rsidRDefault="00A54157">
      <w:pPr>
        <w:pStyle w:val="Bullet1"/>
        <w:rPr>
          <w:lang w:val="nl-BE" w:eastAsia="nl-BE"/>
        </w:rPr>
      </w:pPr>
      <w:r w:rsidRPr="003D5EFD">
        <w:rPr>
          <w:lang w:val="nl-BE" w:eastAsia="nl-BE"/>
        </w:rPr>
        <w:t>d</w:t>
      </w:r>
      <w:r w:rsidR="005F3930" w:rsidRPr="003D5EFD">
        <w:rPr>
          <w:lang w:val="nl-BE" w:eastAsia="nl-BE"/>
        </w:rPr>
        <w:t xml:space="preserve">e aankondiging van de opdracht omvat enkel een oproep om aanvragen tot deelneming te ontvangen ten vroegste binnen de </w:t>
      </w:r>
      <w:r w:rsidR="00DA5451">
        <w:rPr>
          <w:lang w:val="nl-BE" w:eastAsia="nl-BE"/>
        </w:rPr>
        <w:t>30</w:t>
      </w:r>
      <w:r w:rsidR="005F3930" w:rsidRPr="003D5EFD">
        <w:rPr>
          <w:lang w:val="nl-BE" w:eastAsia="nl-BE"/>
        </w:rPr>
        <w:t xml:space="preserve"> dagen. De eerste fase van de tweefasige procedure is een zuivere selectie. Ze staat open voor alle geïnteresseerde ondernemers en biedt hen de gelegenheid om als kandidaat een aanvraag tot deelneming in te dienen. </w:t>
      </w:r>
      <w:r w:rsidR="005F3930" w:rsidRPr="00A54157">
        <w:rPr>
          <w:lang w:val="nl-BE" w:eastAsia="nl-BE"/>
        </w:rPr>
        <w:t>Op basis van de aanvragen tot deelneming gebeurt een selectie van de kandidaten: er wordt daarbij nagegaan of de kandidaten over de nodige betrouwbaarheid en geschiktheid beschikke</w:t>
      </w:r>
      <w:r>
        <w:rPr>
          <w:lang w:val="nl-BE" w:eastAsia="nl-BE"/>
        </w:rPr>
        <w:t>n;</w:t>
      </w:r>
    </w:p>
    <w:p w14:paraId="16B5C423" w14:textId="5C121EBF" w:rsidR="005F3930" w:rsidRPr="00A54157" w:rsidDel="004C4E37" w:rsidRDefault="00A54157">
      <w:pPr>
        <w:pStyle w:val="Bullet1"/>
        <w:rPr>
          <w:lang w:val="nl-BE" w:eastAsia="nl-BE"/>
        </w:rPr>
      </w:pPr>
      <w:r w:rsidRPr="00A54157">
        <w:rPr>
          <w:lang w:val="nl-BE" w:eastAsia="nl-BE"/>
        </w:rPr>
        <w:t>a</w:t>
      </w:r>
      <w:r w:rsidR="005F3930" w:rsidRPr="00A54157">
        <w:rPr>
          <w:lang w:val="nl-BE" w:eastAsia="nl-BE"/>
        </w:rPr>
        <w:t xml:space="preserve">lleen de geselecteerden ontvangen een uitnodiging om een offerte in te dienen en mogen aan de tweede fase participeren en als inschrijver een offerte indienen. De termijn voor ontvangst van de offertes bedraagt in beginsel ten minste </w:t>
      </w:r>
      <w:r w:rsidR="005A3383">
        <w:rPr>
          <w:lang w:val="nl-BE" w:eastAsia="nl-BE"/>
        </w:rPr>
        <w:t>25</w:t>
      </w:r>
      <w:r w:rsidR="005A3383" w:rsidRPr="00A54157">
        <w:rPr>
          <w:lang w:val="nl-BE" w:eastAsia="nl-BE"/>
        </w:rPr>
        <w:t xml:space="preserve"> </w:t>
      </w:r>
      <w:r w:rsidR="005F3930" w:rsidRPr="00A54157">
        <w:rPr>
          <w:lang w:val="nl-BE" w:eastAsia="nl-BE"/>
        </w:rPr>
        <w:t>dagen.</w:t>
      </w:r>
      <w:r w:rsidRPr="00A54157">
        <w:rPr>
          <w:lang w:val="nl-BE" w:eastAsia="nl-BE"/>
        </w:rPr>
        <w:t xml:space="preserve"> </w:t>
      </w:r>
    </w:p>
    <w:p w14:paraId="5FB8D766" w14:textId="1A6BE79F" w:rsidR="005F3930" w:rsidRDefault="005F3930" w:rsidP="005F3930">
      <w:pPr>
        <w:rPr>
          <w:lang w:eastAsia="nl-BE"/>
        </w:rPr>
      </w:pPr>
      <w:r>
        <w:rPr>
          <w:lang w:eastAsia="nl-BE"/>
        </w:rPr>
        <w:t xml:space="preserve">Samengevat </w:t>
      </w:r>
      <w:r w:rsidRPr="0047462D">
        <w:rPr>
          <w:b/>
          <w:bCs/>
          <w:lang w:eastAsia="nl-BE"/>
        </w:rPr>
        <w:t>krijgen de kandidaten dus meer tijd dan in een openbare procedure om een offerte op te maken</w:t>
      </w:r>
      <w:r w:rsidRPr="00427309">
        <w:rPr>
          <w:lang w:eastAsia="nl-BE"/>
        </w:rPr>
        <w:t>. D</w:t>
      </w:r>
      <w:r>
        <w:rPr>
          <w:lang w:eastAsia="nl-BE"/>
        </w:rPr>
        <w:t>a</w:t>
      </w:r>
      <w:r w:rsidRPr="00427309">
        <w:rPr>
          <w:lang w:eastAsia="nl-BE"/>
        </w:rPr>
        <w:t xml:space="preserve">t kan </w:t>
      </w:r>
      <w:r w:rsidR="006D195A">
        <w:rPr>
          <w:lang w:eastAsia="nl-BE"/>
        </w:rPr>
        <w:t>zeker</w:t>
      </w:r>
      <w:r w:rsidR="006D195A" w:rsidRPr="00427309">
        <w:rPr>
          <w:lang w:eastAsia="nl-BE"/>
        </w:rPr>
        <w:t xml:space="preserve"> </w:t>
      </w:r>
      <w:r w:rsidRPr="00427309">
        <w:rPr>
          <w:lang w:eastAsia="nl-BE"/>
        </w:rPr>
        <w:t xml:space="preserve">voor </w:t>
      </w:r>
      <w:r>
        <w:rPr>
          <w:lang w:eastAsia="nl-BE"/>
        </w:rPr>
        <w:t>kmo’s</w:t>
      </w:r>
      <w:r w:rsidRPr="00427309">
        <w:rPr>
          <w:lang w:eastAsia="nl-BE"/>
        </w:rPr>
        <w:t xml:space="preserve"> met een kleiner personeelsbestand </w:t>
      </w:r>
      <w:r w:rsidR="006D195A">
        <w:rPr>
          <w:lang w:eastAsia="nl-BE"/>
        </w:rPr>
        <w:t>een voordeel bieden</w:t>
      </w:r>
      <w:r w:rsidRPr="00427309">
        <w:rPr>
          <w:lang w:eastAsia="nl-BE"/>
        </w:rPr>
        <w:t>.</w:t>
      </w:r>
    </w:p>
    <w:p w14:paraId="2B4EF4D8" w14:textId="50FE20FA" w:rsidR="005F3930" w:rsidRDefault="00662F07" w:rsidP="005F3930">
      <w:pPr>
        <w:rPr>
          <w:lang w:eastAsia="nl-BE"/>
        </w:rPr>
      </w:pPr>
      <w:r>
        <w:rPr>
          <w:lang w:eastAsia="nl-BE"/>
        </w:rPr>
        <w:t>Een</w:t>
      </w:r>
      <w:r w:rsidR="005F3930">
        <w:rPr>
          <w:lang w:eastAsia="nl-BE"/>
        </w:rPr>
        <w:t xml:space="preserve"> aanbesteder</w:t>
      </w:r>
      <w:r>
        <w:rPr>
          <w:lang w:eastAsia="nl-BE"/>
        </w:rPr>
        <w:t xml:space="preserve"> kan</w:t>
      </w:r>
      <w:r w:rsidR="005F3930">
        <w:rPr>
          <w:lang w:eastAsia="nl-BE"/>
        </w:rPr>
        <w:t xml:space="preserve"> bij </w:t>
      </w:r>
      <w:r w:rsidR="005F3930" w:rsidRPr="00427309">
        <w:rPr>
          <w:lang w:eastAsia="nl-BE"/>
        </w:rPr>
        <w:t>de niet-openbare procedure, en</w:t>
      </w:r>
      <w:r w:rsidR="005F3930">
        <w:rPr>
          <w:lang w:eastAsia="nl-BE"/>
        </w:rPr>
        <w:t xml:space="preserve"> bij</w:t>
      </w:r>
      <w:r w:rsidR="005F3930" w:rsidRPr="00427309">
        <w:rPr>
          <w:lang w:eastAsia="nl-BE"/>
        </w:rPr>
        <w:t xml:space="preserve"> andere meer</w:t>
      </w:r>
      <w:r w:rsidR="005F3930">
        <w:rPr>
          <w:lang w:eastAsia="nl-BE"/>
        </w:rPr>
        <w:t xml:space="preserve">fasige </w:t>
      </w:r>
      <w:r w:rsidR="005F3930" w:rsidRPr="00427309">
        <w:rPr>
          <w:lang w:eastAsia="nl-BE"/>
        </w:rPr>
        <w:t xml:space="preserve">procedures, gebruik maken van een zogenaamde </w:t>
      </w:r>
      <w:r w:rsidR="00817B0A">
        <w:rPr>
          <w:lang w:eastAsia="nl-BE"/>
        </w:rPr>
        <w:t>“</w:t>
      </w:r>
      <w:r w:rsidR="005F3930" w:rsidRPr="00427309">
        <w:rPr>
          <w:lang w:eastAsia="nl-BE"/>
        </w:rPr>
        <w:t>selectieleidraad</w:t>
      </w:r>
      <w:r w:rsidR="00817B0A">
        <w:rPr>
          <w:lang w:eastAsia="nl-BE"/>
        </w:rPr>
        <w:t>”</w:t>
      </w:r>
      <w:r w:rsidR="005F3930" w:rsidRPr="00427309">
        <w:rPr>
          <w:lang w:eastAsia="nl-BE"/>
        </w:rPr>
        <w:t xml:space="preserve">. Deze selectieleidraad </w:t>
      </w:r>
      <w:r w:rsidR="005F3930">
        <w:rPr>
          <w:lang w:eastAsia="nl-BE"/>
        </w:rPr>
        <w:t>vormt</w:t>
      </w:r>
      <w:r w:rsidR="005F3930" w:rsidRPr="00427309">
        <w:rPr>
          <w:lang w:eastAsia="nl-BE"/>
        </w:rPr>
        <w:t xml:space="preserve"> als het ware het </w:t>
      </w:r>
      <w:r w:rsidR="00817B0A">
        <w:rPr>
          <w:lang w:eastAsia="nl-BE"/>
        </w:rPr>
        <w:t>"</w:t>
      </w:r>
      <w:r w:rsidR="005F3930" w:rsidRPr="00427309">
        <w:rPr>
          <w:lang w:eastAsia="nl-BE"/>
        </w:rPr>
        <w:t>bestek</w:t>
      </w:r>
      <w:r w:rsidR="00817B0A">
        <w:rPr>
          <w:lang w:eastAsia="nl-BE"/>
        </w:rPr>
        <w:t>”</w:t>
      </w:r>
      <w:r w:rsidR="005F3930" w:rsidRPr="00427309">
        <w:rPr>
          <w:lang w:eastAsia="nl-BE"/>
        </w:rPr>
        <w:t xml:space="preserve"> voor de</w:t>
      </w:r>
      <w:r w:rsidR="00B32A9D">
        <w:rPr>
          <w:lang w:eastAsia="nl-BE"/>
        </w:rPr>
        <w:t xml:space="preserve"> eerste</w:t>
      </w:r>
      <w:r w:rsidR="005F3930" w:rsidRPr="00427309">
        <w:rPr>
          <w:lang w:eastAsia="nl-BE"/>
        </w:rPr>
        <w:t xml:space="preserve"> fase</w:t>
      </w:r>
      <w:r w:rsidR="00B32A9D">
        <w:rPr>
          <w:lang w:eastAsia="nl-BE"/>
        </w:rPr>
        <w:t>, die</w:t>
      </w:r>
      <w:r w:rsidR="005F3930" w:rsidRPr="00427309">
        <w:rPr>
          <w:lang w:eastAsia="nl-BE"/>
        </w:rPr>
        <w:t xml:space="preserve"> van aanvragen tot deelneming. De selectieleidraad maakt onderdeel uit van de opdrachtdocumenten en heeft vooral zin wanneer bij belangrijke of omvangrijke opdrachten de kwalitatieve selectiecriteria zo uitgebreid zijn dat ze niet overzichtelijk of onmogelijk te vatten zijn in het gelimiteerde bekendmakingsbericht. </w:t>
      </w:r>
    </w:p>
    <w:p w14:paraId="6F6B8B02" w14:textId="61617794" w:rsidR="001471A6" w:rsidRDefault="005F3930" w:rsidP="005F3930">
      <w:pPr>
        <w:rPr>
          <w:lang w:eastAsia="nl-BE"/>
        </w:rPr>
      </w:pPr>
      <w:r w:rsidRPr="00470689" w:rsidDel="00386EC1">
        <w:rPr>
          <w:lang w:eastAsia="nl-BE"/>
        </w:rPr>
        <w:t>Het doel van de selectieleidraad is om de selectieprocedure toe te lichten en om potentiële deelnemers algemene informatie over de opdracht en het verdere verloop van de procedure te geven, zodat zij in staat zijn om met voldoende inzicht een kandidaatstelling in te dienen.</w:t>
      </w:r>
      <w:r>
        <w:rPr>
          <w:lang w:eastAsia="nl-BE"/>
        </w:rPr>
        <w:t xml:space="preserve"> </w:t>
      </w:r>
      <w:r w:rsidRPr="00470689" w:rsidDel="00386EC1">
        <w:rPr>
          <w:lang w:eastAsia="nl-BE"/>
        </w:rPr>
        <w:t xml:space="preserve">De selectieleidraad wordt niet expliciet vermeld in regelgeving </w:t>
      </w:r>
      <w:r>
        <w:rPr>
          <w:lang w:eastAsia="nl-BE"/>
        </w:rPr>
        <w:t xml:space="preserve">en kan gewoon worden toegevoegd </w:t>
      </w:r>
      <w:r w:rsidRPr="00470689" w:rsidDel="00386EC1">
        <w:rPr>
          <w:lang w:eastAsia="nl-BE"/>
        </w:rPr>
        <w:t xml:space="preserve">aan de bekendmaking of </w:t>
      </w:r>
      <w:r>
        <w:rPr>
          <w:lang w:eastAsia="nl-BE"/>
        </w:rPr>
        <w:t>via</w:t>
      </w:r>
      <w:r w:rsidRPr="00470689" w:rsidDel="00386EC1">
        <w:rPr>
          <w:lang w:eastAsia="nl-BE"/>
        </w:rPr>
        <w:t xml:space="preserve"> vermelding </w:t>
      </w:r>
      <w:r>
        <w:rPr>
          <w:lang w:eastAsia="nl-BE"/>
        </w:rPr>
        <w:t>van een</w:t>
      </w:r>
      <w:r w:rsidRPr="00470689" w:rsidDel="00386EC1">
        <w:rPr>
          <w:lang w:eastAsia="nl-BE"/>
        </w:rPr>
        <w:t xml:space="preserve"> internetsite </w:t>
      </w:r>
      <w:r>
        <w:rPr>
          <w:lang w:eastAsia="nl-BE"/>
        </w:rPr>
        <w:t>gratis beschikbaar gemaakt worden</w:t>
      </w:r>
      <w:r w:rsidRPr="00427309">
        <w:rPr>
          <w:lang w:eastAsia="nl-BE"/>
        </w:rPr>
        <w:t>.</w:t>
      </w:r>
    </w:p>
    <w:p w14:paraId="0B3B78E8" w14:textId="6FB70E06" w:rsidR="008320A6" w:rsidRPr="00752746" w:rsidRDefault="008320A6" w:rsidP="005F3930">
      <w:pPr>
        <w:rPr>
          <w:lang w:eastAsia="nl-BE"/>
        </w:rPr>
      </w:pPr>
      <w:r w:rsidRPr="008D75D4">
        <w:rPr>
          <w:b/>
          <w:bCs/>
          <w:color w:val="0070C0"/>
          <w:lang w:eastAsia="nl-BE"/>
        </w:rPr>
        <w:t>Tot slot wordt de aanbesteder eraan herinner</w:t>
      </w:r>
      <w:r w:rsidR="00213C6B" w:rsidRPr="008D75D4">
        <w:rPr>
          <w:b/>
          <w:bCs/>
          <w:color w:val="0070C0"/>
          <w:lang w:eastAsia="nl-BE"/>
        </w:rPr>
        <w:t>d dat</w:t>
      </w:r>
      <w:r w:rsidR="00C97AB8" w:rsidRPr="008D75D4">
        <w:rPr>
          <w:b/>
          <w:bCs/>
          <w:color w:val="0070C0"/>
          <w:lang w:eastAsia="nl-BE"/>
        </w:rPr>
        <w:t xml:space="preserve"> het van belang is</w:t>
      </w:r>
      <w:r w:rsidR="00B31EFE" w:rsidRPr="008D75D4">
        <w:rPr>
          <w:b/>
          <w:bCs/>
          <w:color w:val="0070C0"/>
          <w:lang w:eastAsia="nl-BE"/>
        </w:rPr>
        <w:t xml:space="preserve"> dat de opdrachtdocumenten tijdig gepubliceerd worden</w:t>
      </w:r>
      <w:r w:rsidR="00662F07" w:rsidRPr="00886217">
        <w:rPr>
          <w:b/>
          <w:bCs/>
          <w:color w:val="0070C0"/>
          <w:lang w:eastAsia="nl-BE"/>
        </w:rPr>
        <w:t>.</w:t>
      </w:r>
      <w:r w:rsidR="00B31EFE" w:rsidRPr="00B31EFE">
        <w:rPr>
          <w:lang w:eastAsia="nl-BE"/>
        </w:rPr>
        <w:t xml:space="preserve"> </w:t>
      </w:r>
      <w:r w:rsidR="00662F07">
        <w:rPr>
          <w:lang w:eastAsia="nl-BE"/>
        </w:rPr>
        <w:t>H</w:t>
      </w:r>
      <w:r w:rsidR="00B31EFE" w:rsidRPr="00B31EFE">
        <w:rPr>
          <w:lang w:eastAsia="nl-BE"/>
        </w:rPr>
        <w:t>oe sneller de voor de potentiële inschrijvers relevante documenten gepubliceerd zijn, hoe beter voor de mededinging en de kwaliteit van de offertes</w:t>
      </w:r>
      <w:r w:rsidR="00662F07">
        <w:rPr>
          <w:lang w:eastAsia="nl-BE"/>
        </w:rPr>
        <w:t xml:space="preserve">. </w:t>
      </w:r>
      <w:r w:rsidR="000112CC" w:rsidRPr="00781A6A">
        <w:rPr>
          <w:b/>
          <w:bCs/>
          <w:color w:val="0070C0"/>
          <w:lang w:eastAsia="nl-BE"/>
        </w:rPr>
        <w:t>Hoe meer informatie in de eerste fase</w:t>
      </w:r>
      <w:r w:rsidR="005B5DD5" w:rsidRPr="00781A6A">
        <w:rPr>
          <w:b/>
          <w:bCs/>
          <w:color w:val="0070C0"/>
          <w:lang w:eastAsia="nl-BE"/>
        </w:rPr>
        <w:t xml:space="preserve"> van een </w:t>
      </w:r>
      <w:r w:rsidR="00BA0382" w:rsidRPr="00781A6A">
        <w:rPr>
          <w:b/>
          <w:bCs/>
          <w:color w:val="0070C0"/>
          <w:lang w:eastAsia="nl-BE"/>
        </w:rPr>
        <w:t xml:space="preserve">meerfasige </w:t>
      </w:r>
      <w:r w:rsidR="005B5DD5" w:rsidRPr="00781A6A">
        <w:rPr>
          <w:b/>
          <w:bCs/>
          <w:color w:val="0070C0"/>
          <w:lang w:eastAsia="nl-BE"/>
        </w:rPr>
        <w:t>opdracht</w:t>
      </w:r>
      <w:r w:rsidR="000112CC" w:rsidRPr="00781A6A">
        <w:rPr>
          <w:b/>
          <w:bCs/>
          <w:color w:val="0070C0"/>
          <w:lang w:eastAsia="nl-BE"/>
        </w:rPr>
        <w:t xml:space="preserve"> bekend is, hoe beter een onderneming kan inschatten</w:t>
      </w:r>
      <w:r w:rsidR="00276F3A" w:rsidRPr="00781A6A">
        <w:rPr>
          <w:b/>
          <w:bCs/>
          <w:color w:val="0070C0"/>
          <w:lang w:eastAsia="nl-BE"/>
        </w:rPr>
        <w:t xml:space="preserve"> of het voor hen interessant is</w:t>
      </w:r>
      <w:r w:rsidR="006059A0" w:rsidRPr="00781A6A">
        <w:rPr>
          <w:b/>
          <w:bCs/>
          <w:color w:val="0070C0"/>
          <w:lang w:eastAsia="nl-BE"/>
        </w:rPr>
        <w:t xml:space="preserve"> om trachten deel te nemen aan de opdracht of niet</w:t>
      </w:r>
      <w:r w:rsidR="006059A0" w:rsidRPr="00A72EAB">
        <w:rPr>
          <w:b/>
          <w:bCs/>
          <w:color w:val="0070C0"/>
          <w:lang w:eastAsia="nl-BE"/>
        </w:rPr>
        <w:t>.</w:t>
      </w:r>
      <w:r w:rsidR="006059A0">
        <w:rPr>
          <w:lang w:eastAsia="nl-BE"/>
        </w:rPr>
        <w:t xml:space="preserve"> </w:t>
      </w:r>
    </w:p>
    <w:p w14:paraId="68CDAA7C" w14:textId="3FFDCABB" w:rsidR="002035AA" w:rsidRPr="00F01E52" w:rsidRDefault="00061A02">
      <w:pPr>
        <w:pStyle w:val="Kop2"/>
      </w:pPr>
      <w:bookmarkStart w:id="59" w:name="_Toc135839950"/>
      <w:bookmarkStart w:id="60" w:name="_Toc150870555"/>
      <w:r>
        <w:t>Richtlijnen en instructies</w:t>
      </w:r>
      <w:bookmarkEnd w:id="59"/>
      <w:bookmarkEnd w:id="60"/>
    </w:p>
    <w:p w14:paraId="6E8353FA" w14:textId="77777777" w:rsidR="002035AA" w:rsidRPr="00427309" w:rsidRDefault="002035AA">
      <w:pPr>
        <w:pStyle w:val="Lijstnummering"/>
        <w:numPr>
          <w:ilvl w:val="0"/>
          <w:numId w:val="7"/>
        </w:numPr>
        <w:pBdr>
          <w:top w:val="single" w:sz="4" w:space="1" w:color="auto"/>
          <w:left w:val="single" w:sz="4" w:space="4" w:color="auto"/>
          <w:bottom w:val="single" w:sz="4" w:space="1" w:color="auto"/>
          <w:right w:val="single" w:sz="4" w:space="4" w:color="auto"/>
        </w:pBdr>
        <w:shd w:val="clear" w:color="auto" w:fill="FBE4D5" w:themeFill="accent2" w:themeFillTint="33"/>
      </w:pPr>
      <w:r w:rsidRPr="00F01E52">
        <w:rPr>
          <w:rStyle w:val="normaltextrun"/>
          <w:color w:val="000000"/>
          <w:szCs w:val="20"/>
          <w:lang w:val="nl-NL"/>
        </w:rPr>
        <w:t>Overweeg de keuze van procedure op basis van een grondige analyse van de voorgenomen behoefte, mede gebaseerd op een correct uitgevoerd marktonderzoek, en baseer u daarbij op de omvang, de complexiteit en het verwachte eindresultaat van de opdracht.</w:t>
      </w:r>
      <w:r w:rsidRPr="00F01E52">
        <w:rPr>
          <w:rStyle w:val="eop"/>
          <w:color w:val="000000"/>
          <w:szCs w:val="20"/>
        </w:rPr>
        <w:t> </w:t>
      </w:r>
    </w:p>
    <w:p w14:paraId="3F398273" w14:textId="06148C50" w:rsidR="002035AA" w:rsidRPr="00427309" w:rsidRDefault="002035AA">
      <w:pPr>
        <w:pStyle w:val="Lijstnummering"/>
        <w:numPr>
          <w:ilvl w:val="0"/>
          <w:numId w:val="7"/>
        </w:numPr>
        <w:pBdr>
          <w:top w:val="single" w:sz="4" w:space="1" w:color="auto"/>
          <w:left w:val="single" w:sz="4" w:space="4" w:color="auto"/>
          <w:bottom w:val="single" w:sz="4" w:space="1" w:color="auto"/>
          <w:right w:val="single" w:sz="4" w:space="4" w:color="auto"/>
        </w:pBdr>
        <w:shd w:val="clear" w:color="auto" w:fill="FBE4D5" w:themeFill="accent2" w:themeFillTint="33"/>
      </w:pPr>
      <w:r w:rsidRPr="00F01E52">
        <w:rPr>
          <w:rStyle w:val="normaltextrun"/>
          <w:color w:val="000000"/>
          <w:szCs w:val="20"/>
          <w:lang w:val="nl-NL"/>
        </w:rPr>
        <w:t xml:space="preserve">Hou bij de keuze van de procedure rekening met de specifieke toepassingsvoorwaarden, analyseer de graad van innovatie die nodig is voor het uitvoeren van de voorgenomen opdracht en onderzoek </w:t>
      </w:r>
      <w:r w:rsidR="004C78F5">
        <w:rPr>
          <w:rStyle w:val="normaltextrun"/>
          <w:color w:val="000000"/>
          <w:szCs w:val="20"/>
          <w:lang w:val="nl-NL"/>
        </w:rPr>
        <w:t>daar</w:t>
      </w:r>
      <w:r w:rsidRPr="00F01E52">
        <w:rPr>
          <w:rStyle w:val="normaltextrun"/>
          <w:color w:val="000000"/>
          <w:szCs w:val="20"/>
          <w:lang w:val="nl-NL"/>
        </w:rPr>
        <w:t xml:space="preserve">bij of u te maken </w:t>
      </w:r>
      <w:r w:rsidRPr="00F01E52">
        <w:rPr>
          <w:rStyle w:val="normaltextrun"/>
          <w:szCs w:val="20"/>
          <w:lang w:val="nl-NL"/>
        </w:rPr>
        <w:t xml:space="preserve">heeft </w:t>
      </w:r>
      <w:r w:rsidRPr="00F01E52">
        <w:rPr>
          <w:rStyle w:val="normaltextrun"/>
          <w:color w:val="000000"/>
          <w:szCs w:val="20"/>
          <w:lang w:val="nl-NL"/>
        </w:rPr>
        <w:t>met een innovatieve of ontwerpoplossing die al dan niet daadwerkelijk onderzoek en ontwikkeling vereist.</w:t>
      </w:r>
      <w:r w:rsidRPr="00F01E52">
        <w:rPr>
          <w:rStyle w:val="eop"/>
          <w:color w:val="000000"/>
          <w:szCs w:val="20"/>
        </w:rPr>
        <w:t> </w:t>
      </w:r>
    </w:p>
    <w:p w14:paraId="1C4E4D85" w14:textId="35AACE73" w:rsidR="002035AA" w:rsidRPr="00F01E52" w:rsidRDefault="002035AA">
      <w:pPr>
        <w:pStyle w:val="Lijstnummering"/>
        <w:numPr>
          <w:ilvl w:val="0"/>
          <w:numId w:val="7"/>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szCs w:val="20"/>
        </w:rPr>
      </w:pPr>
      <w:r w:rsidRPr="00841ED9">
        <w:rPr>
          <w:rStyle w:val="normaltextrun"/>
          <w:b/>
          <w:bCs/>
          <w:szCs w:val="20"/>
        </w:rPr>
        <w:t>Geef bij complexe dossiers de voorkeur – tenzij in uitzonderlijke gevallen – aan procedures in twee of meer fasen, al dan niet in combinatie met procedures waar onderhandelingen of een dialoog mogelijk zijn. Geef ook bij opdrachten waar een groot aantal offertes te verwachten zijn en waarbij die offertes bovendien een redelijke tijdsinvestering vragen, eveneens de voorkeur aan tweefasige of meerfasige procedures</w:t>
      </w:r>
      <w:r w:rsidRPr="00A72EAB">
        <w:rPr>
          <w:rStyle w:val="normaltextrun"/>
          <w:b/>
          <w:bCs/>
          <w:szCs w:val="20"/>
        </w:rPr>
        <w:t>.</w:t>
      </w:r>
      <w:r w:rsidR="00DD3239">
        <w:rPr>
          <w:rStyle w:val="normaltextrun"/>
          <w:b/>
          <w:bCs/>
          <w:szCs w:val="20"/>
        </w:rPr>
        <w:t xml:space="preserve"> </w:t>
      </w:r>
      <w:r w:rsidR="00DD3239" w:rsidRPr="00D7705C">
        <w:rPr>
          <w:rStyle w:val="normaltextrun"/>
          <w:szCs w:val="20"/>
        </w:rPr>
        <w:t xml:space="preserve">Hou </w:t>
      </w:r>
      <w:r w:rsidR="00162BEA" w:rsidRPr="00D7705C">
        <w:rPr>
          <w:rStyle w:val="normaltextrun"/>
          <w:szCs w:val="20"/>
        </w:rPr>
        <w:t>bij</w:t>
      </w:r>
      <w:r w:rsidR="00DD3239" w:rsidRPr="00D7705C">
        <w:rPr>
          <w:rStyle w:val="normaltextrun"/>
          <w:szCs w:val="20"/>
        </w:rPr>
        <w:t xml:space="preserve"> procedures </w:t>
      </w:r>
      <w:r w:rsidR="00602DC9" w:rsidRPr="00D7705C">
        <w:rPr>
          <w:rStyle w:val="normaltextrun"/>
          <w:szCs w:val="20"/>
        </w:rPr>
        <w:t>die onderhandelingen toelaten</w:t>
      </w:r>
      <w:r w:rsidR="0078731F" w:rsidRPr="00D7705C">
        <w:rPr>
          <w:rStyle w:val="normaltextrun"/>
          <w:szCs w:val="20"/>
        </w:rPr>
        <w:t>,</w:t>
      </w:r>
      <w:r w:rsidR="00602DC9" w:rsidRPr="00D7705C">
        <w:rPr>
          <w:rStyle w:val="normaltextrun"/>
          <w:szCs w:val="20"/>
        </w:rPr>
        <w:t xml:space="preserve"> rekening met de </w:t>
      </w:r>
      <w:r w:rsidR="009E50A5" w:rsidRPr="00D7705C">
        <w:rPr>
          <w:rStyle w:val="normaltextrun"/>
          <w:szCs w:val="20"/>
        </w:rPr>
        <w:t>extra</w:t>
      </w:r>
      <w:r w:rsidR="00602DC9" w:rsidRPr="00D7705C">
        <w:rPr>
          <w:rStyle w:val="normaltextrun"/>
          <w:szCs w:val="20"/>
        </w:rPr>
        <w:t xml:space="preserve"> mogelijkheden</w:t>
      </w:r>
      <w:r w:rsidR="00DD3239" w:rsidRPr="00D7705C">
        <w:rPr>
          <w:rStyle w:val="normaltextrun"/>
          <w:szCs w:val="20"/>
        </w:rPr>
        <w:t xml:space="preserve"> in het kader van</w:t>
      </w:r>
      <w:r w:rsidR="002672DF" w:rsidRPr="00D7705C">
        <w:rPr>
          <w:rStyle w:val="normaltextrun"/>
          <w:szCs w:val="20"/>
        </w:rPr>
        <w:t xml:space="preserve"> het onderzoek naar</w:t>
      </w:r>
      <w:r w:rsidR="00DD3239" w:rsidRPr="00D7705C">
        <w:rPr>
          <w:rStyle w:val="normaltextrun"/>
          <w:szCs w:val="20"/>
        </w:rPr>
        <w:t xml:space="preserve"> de regelmatigheid van offertes.</w:t>
      </w:r>
      <w:r w:rsidR="00DD3239">
        <w:rPr>
          <w:rStyle w:val="normaltextrun"/>
          <w:b/>
          <w:bCs/>
          <w:szCs w:val="20"/>
        </w:rPr>
        <w:t xml:space="preserve"> </w:t>
      </w:r>
    </w:p>
    <w:p w14:paraId="002EB154" w14:textId="22636DFD" w:rsidR="00E50A81" w:rsidRDefault="002035AA">
      <w:pPr>
        <w:pStyle w:val="Lijstnummering"/>
        <w:numPr>
          <w:ilvl w:val="0"/>
          <w:numId w:val="7"/>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szCs w:val="20"/>
          <w:lang w:eastAsia="nl-BE"/>
        </w:rPr>
      </w:pPr>
      <w:r w:rsidRPr="00F01E52">
        <w:rPr>
          <w:rStyle w:val="normaltextrun"/>
          <w:szCs w:val="20"/>
        </w:rPr>
        <w:t>Reflecteer grondig, bij het afsluiten van een selectiefase in het kader van een twee- of meerfasige procedure, over het aantal te selecteren ondernemingen. Hou rekening met het in de wetgeving gevraagde minimumaantal, namelijk drie of vijf afhankelijk van het type procedure</w:t>
      </w:r>
      <w:r w:rsidR="00E1328F">
        <w:rPr>
          <w:rStyle w:val="normaltextrun"/>
          <w:szCs w:val="20"/>
        </w:rPr>
        <w:t xml:space="preserve">, de marktrealiteit </w:t>
      </w:r>
      <w:r w:rsidR="00C61716">
        <w:rPr>
          <w:rStyle w:val="normaltextrun"/>
          <w:szCs w:val="20"/>
        </w:rPr>
        <w:t xml:space="preserve">(mededinging), de complexiteit van de opdracht </w:t>
      </w:r>
      <w:r w:rsidR="00E1328F">
        <w:rPr>
          <w:rStyle w:val="normaltextrun"/>
          <w:szCs w:val="20"/>
        </w:rPr>
        <w:t>en de kans dat ondernemingen afhaken tijdens de procedure</w:t>
      </w:r>
      <w:r w:rsidRPr="00F01E52">
        <w:rPr>
          <w:rStyle w:val="normaltextrun"/>
          <w:szCs w:val="20"/>
        </w:rPr>
        <w:t xml:space="preserve">. Denk </w:t>
      </w:r>
      <w:r w:rsidR="00263644">
        <w:rPr>
          <w:rStyle w:val="normaltextrun"/>
          <w:szCs w:val="20"/>
        </w:rPr>
        <w:t>eveneens</w:t>
      </w:r>
      <w:r w:rsidR="00263644" w:rsidRPr="00F01E52">
        <w:rPr>
          <w:rStyle w:val="normaltextrun"/>
          <w:szCs w:val="20"/>
        </w:rPr>
        <w:t xml:space="preserve"> </w:t>
      </w:r>
      <w:r w:rsidRPr="00F01E52">
        <w:rPr>
          <w:rStyle w:val="normaltextrun"/>
          <w:szCs w:val="20"/>
        </w:rPr>
        <w:t xml:space="preserve">aan de administratieve lasten voor zowel aanbesteder als onderneming en de kans op succes voor die laatste. </w:t>
      </w:r>
    </w:p>
    <w:p w14:paraId="4D4720FD" w14:textId="1E5A3248" w:rsidR="002035AA" w:rsidRPr="006858B9" w:rsidRDefault="006F763A">
      <w:pPr>
        <w:pStyle w:val="Lijstnummering"/>
        <w:numPr>
          <w:ilvl w:val="0"/>
          <w:numId w:val="7"/>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szCs w:val="20"/>
          <w:lang w:eastAsia="nl-BE"/>
        </w:rPr>
      </w:pPr>
      <w:r>
        <w:rPr>
          <w:rStyle w:val="normaltextrun"/>
          <w:szCs w:val="20"/>
          <w:lang w:eastAsia="nl-BE"/>
        </w:rPr>
        <w:lastRenderedPageBreak/>
        <w:t>O</w:t>
      </w:r>
      <w:r w:rsidRPr="006858B9">
        <w:rPr>
          <w:rStyle w:val="normaltextrun"/>
          <w:szCs w:val="20"/>
          <w:lang w:eastAsia="nl-BE"/>
        </w:rPr>
        <w:t>m de voordelen van een twee</w:t>
      </w:r>
      <w:r w:rsidR="0045021C">
        <w:rPr>
          <w:rStyle w:val="normaltextrun"/>
          <w:szCs w:val="20"/>
          <w:lang w:eastAsia="nl-BE"/>
        </w:rPr>
        <w:t>-</w:t>
      </w:r>
      <w:r w:rsidRPr="006858B9">
        <w:rPr>
          <w:rStyle w:val="normaltextrun"/>
          <w:szCs w:val="20"/>
          <w:lang w:eastAsia="nl-BE"/>
        </w:rPr>
        <w:t xml:space="preserve"> of meerfasige procedure maximaal te benutten</w:t>
      </w:r>
      <w:r w:rsidR="00847ADB">
        <w:rPr>
          <w:rStyle w:val="normaltextrun"/>
          <w:szCs w:val="20"/>
          <w:lang w:eastAsia="nl-BE"/>
        </w:rPr>
        <w:t xml:space="preserve"> kan en zal het daarom</w:t>
      </w:r>
      <w:r w:rsidRPr="006858B9">
        <w:rPr>
          <w:rStyle w:val="normaltextrun"/>
          <w:szCs w:val="20"/>
        </w:rPr>
        <w:t xml:space="preserve"> </w:t>
      </w:r>
      <w:r w:rsidR="00847ADB">
        <w:rPr>
          <w:rStyle w:val="normaltextrun"/>
          <w:szCs w:val="20"/>
        </w:rPr>
        <w:t>i</w:t>
      </w:r>
      <w:r w:rsidR="002035AA" w:rsidRPr="006858B9">
        <w:rPr>
          <w:rStyle w:val="normaltextrun"/>
          <w:szCs w:val="20"/>
        </w:rPr>
        <w:t xml:space="preserve">n </w:t>
      </w:r>
      <w:r w:rsidR="00075E13">
        <w:rPr>
          <w:rStyle w:val="normaltextrun"/>
          <w:szCs w:val="20"/>
        </w:rPr>
        <w:t>een aantal</w:t>
      </w:r>
      <w:r w:rsidR="00075E13" w:rsidRPr="006858B9">
        <w:rPr>
          <w:rStyle w:val="normaltextrun"/>
          <w:szCs w:val="20"/>
        </w:rPr>
        <w:t xml:space="preserve"> </w:t>
      </w:r>
      <w:r w:rsidR="002035AA" w:rsidRPr="006858B9">
        <w:rPr>
          <w:rStyle w:val="normaltextrun"/>
          <w:szCs w:val="20"/>
        </w:rPr>
        <w:t xml:space="preserve">gevallen </w:t>
      </w:r>
      <w:r w:rsidR="002035AA" w:rsidRPr="006858B9">
        <w:rPr>
          <w:rStyle w:val="normaltextrun"/>
          <w:szCs w:val="20"/>
          <w:lang w:eastAsia="nl-BE"/>
        </w:rPr>
        <w:t>aangewezen zijn</w:t>
      </w:r>
      <w:r w:rsidR="00EF3E49">
        <w:rPr>
          <w:rStyle w:val="normaltextrun"/>
          <w:szCs w:val="20"/>
          <w:lang w:eastAsia="nl-BE"/>
        </w:rPr>
        <w:t xml:space="preserve"> om</w:t>
      </w:r>
      <w:r w:rsidR="002035AA" w:rsidRPr="006858B9">
        <w:rPr>
          <w:rStyle w:val="normaltextrun"/>
          <w:szCs w:val="20"/>
          <w:lang w:eastAsia="nl-BE"/>
        </w:rPr>
        <w:t xml:space="preserve"> (wanneer mogelijk) het aantal geselecteerde ondernemingen niet hoger dan het wettelijke noodzakelijk</w:t>
      </w:r>
      <w:r w:rsidR="00A0603C">
        <w:rPr>
          <w:rStyle w:val="normaltextrun"/>
          <w:szCs w:val="20"/>
          <w:lang w:eastAsia="nl-BE"/>
        </w:rPr>
        <w:t>e</w:t>
      </w:r>
      <w:r w:rsidR="002035AA" w:rsidRPr="006858B9">
        <w:rPr>
          <w:rStyle w:val="normaltextrun"/>
          <w:szCs w:val="20"/>
          <w:lang w:eastAsia="nl-BE"/>
        </w:rPr>
        <w:t xml:space="preserve"> te leggen. </w:t>
      </w:r>
      <w:r w:rsidR="000E6555">
        <w:rPr>
          <w:rStyle w:val="normaltextrun"/>
          <w:szCs w:val="20"/>
          <w:lang w:eastAsia="nl-BE"/>
        </w:rPr>
        <w:t>Ook, h</w:t>
      </w:r>
      <w:r w:rsidR="000E6555" w:rsidRPr="000E6555">
        <w:rPr>
          <w:rStyle w:val="normaltextrun"/>
          <w:szCs w:val="20"/>
          <w:lang w:eastAsia="nl-BE"/>
        </w:rPr>
        <w:t>oe meer informatie reeds in de eerste fase van een</w:t>
      </w:r>
      <w:r w:rsidR="003422CE">
        <w:rPr>
          <w:rStyle w:val="normaltextrun"/>
          <w:szCs w:val="20"/>
          <w:lang w:eastAsia="nl-BE"/>
        </w:rPr>
        <w:t xml:space="preserve"> meerfasige</w:t>
      </w:r>
      <w:r w:rsidR="000E6555" w:rsidRPr="000E6555">
        <w:rPr>
          <w:rStyle w:val="normaltextrun"/>
          <w:szCs w:val="20"/>
          <w:lang w:eastAsia="nl-BE"/>
        </w:rPr>
        <w:t xml:space="preserve"> opdracht bekend is, hoe beter een onderneming kan inschatten of het voor hen interessant is om trachten deel te nemen aan de opdracht of niet.</w:t>
      </w:r>
    </w:p>
    <w:p w14:paraId="1A0936AD" w14:textId="0BC43D3B" w:rsidR="002035AA" w:rsidRPr="001A18AD" w:rsidRDefault="002035AA">
      <w:pPr>
        <w:pStyle w:val="Lijstnummering"/>
        <w:numPr>
          <w:ilvl w:val="0"/>
          <w:numId w:val="7"/>
        </w:numPr>
        <w:pBdr>
          <w:top w:val="single" w:sz="4" w:space="1" w:color="auto"/>
          <w:left w:val="single" w:sz="4" w:space="4" w:color="auto"/>
          <w:bottom w:val="single" w:sz="4" w:space="1" w:color="auto"/>
          <w:right w:val="single" w:sz="4" w:space="4" w:color="auto"/>
        </w:pBdr>
        <w:shd w:val="clear" w:color="auto" w:fill="FBE4D5" w:themeFill="accent2" w:themeFillTint="33"/>
      </w:pPr>
      <w:r w:rsidRPr="00F01E52">
        <w:rPr>
          <w:rStyle w:val="normaltextrun"/>
          <w:szCs w:val="20"/>
        </w:rPr>
        <w:t xml:space="preserve">Hou rekening met de inspanningen, kosten en baten, en risico’s die de gekozen procedure met zich </w:t>
      </w:r>
      <w:r w:rsidRPr="00F01E52">
        <w:rPr>
          <w:rStyle w:val="normaltextrun"/>
          <w:color w:val="000000"/>
          <w:szCs w:val="20"/>
          <w:lang w:val="nl-NL"/>
        </w:rPr>
        <w:t xml:space="preserve">meebrengt, zowel voor de </w:t>
      </w:r>
      <w:r w:rsidR="000A0D09">
        <w:rPr>
          <w:rStyle w:val="normaltextrun"/>
          <w:color w:val="000000"/>
          <w:szCs w:val="20"/>
          <w:lang w:val="nl-NL"/>
        </w:rPr>
        <w:t>aanbesteder</w:t>
      </w:r>
      <w:r w:rsidRPr="00F01E52">
        <w:rPr>
          <w:rStyle w:val="normaltextrun"/>
          <w:color w:val="000000"/>
          <w:szCs w:val="20"/>
          <w:lang w:val="nl-NL"/>
        </w:rPr>
        <w:t xml:space="preserve"> als voor de </w:t>
      </w:r>
      <w:r w:rsidR="000A0D09">
        <w:rPr>
          <w:rStyle w:val="normaltextrun"/>
          <w:color w:val="000000"/>
          <w:szCs w:val="20"/>
          <w:lang w:val="nl-NL"/>
        </w:rPr>
        <w:t>kandidaat-</w:t>
      </w:r>
      <w:r w:rsidRPr="00F01E52">
        <w:rPr>
          <w:rStyle w:val="normaltextrun"/>
          <w:color w:val="000000"/>
          <w:szCs w:val="20"/>
          <w:lang w:val="nl-NL"/>
        </w:rPr>
        <w:t xml:space="preserve">ondernemers, zodat de gekozen procedure in verhouding staat tot het verwachte </w:t>
      </w:r>
      <w:r w:rsidRPr="001A18AD">
        <w:rPr>
          <w:rStyle w:val="normaltextrun"/>
          <w:color w:val="000000"/>
          <w:szCs w:val="20"/>
          <w:lang w:val="nl-NL"/>
        </w:rPr>
        <w:t>resultaat</w:t>
      </w:r>
      <w:r w:rsidRPr="001A18AD">
        <w:rPr>
          <w:rStyle w:val="normaltextrun"/>
          <w:szCs w:val="20"/>
          <w:lang w:val="nl-NL"/>
        </w:rPr>
        <w:t xml:space="preserve">. Voorzie waar nodig en wanneer de wetgeving dat toelaat (of vereist) in een gepaste tegemoetkoming voor de ondernemingen. Voor meer informatie over </w:t>
      </w:r>
      <w:r w:rsidR="0066740D" w:rsidRPr="001A18AD">
        <w:rPr>
          <w:rStyle w:val="normaltextrun"/>
          <w:szCs w:val="20"/>
          <w:lang w:val="nl-NL"/>
        </w:rPr>
        <w:t>de</w:t>
      </w:r>
      <w:r w:rsidR="00470AB3" w:rsidRPr="001A18AD">
        <w:rPr>
          <w:rStyle w:val="normaltextrun"/>
          <w:szCs w:val="20"/>
          <w:lang w:val="nl-NL"/>
        </w:rPr>
        <w:t xml:space="preserve"> </w:t>
      </w:r>
      <w:r w:rsidR="00A20179">
        <w:rPr>
          <w:rStyle w:val="normaltextrun"/>
          <w:szCs w:val="20"/>
          <w:lang w:val="nl-NL"/>
        </w:rPr>
        <w:t>(</w:t>
      </w:r>
      <w:r w:rsidRPr="001A18AD">
        <w:rPr>
          <w:rStyle w:val="normaltextrun"/>
          <w:szCs w:val="20"/>
          <w:lang w:val="nl-NL"/>
        </w:rPr>
        <w:t>bied</w:t>
      </w:r>
      <w:r w:rsidR="00A20179">
        <w:rPr>
          <w:rStyle w:val="normaltextrun"/>
          <w:szCs w:val="20"/>
          <w:lang w:val="nl-NL"/>
        </w:rPr>
        <w:t>)</w:t>
      </w:r>
      <w:r w:rsidRPr="001A18AD">
        <w:rPr>
          <w:rStyle w:val="normaltextrun"/>
          <w:szCs w:val="20"/>
          <w:lang w:val="nl-NL"/>
        </w:rPr>
        <w:t xml:space="preserve">vergoeding, zie principe </w:t>
      </w:r>
      <w:r w:rsidR="001471A6" w:rsidRPr="001A18AD">
        <w:rPr>
          <w:rStyle w:val="normaltextrun"/>
          <w:szCs w:val="20"/>
          <w:lang w:val="nl-NL"/>
        </w:rPr>
        <w:t>8</w:t>
      </w:r>
      <w:r w:rsidRPr="001A18AD">
        <w:rPr>
          <w:rStyle w:val="normaltextrun"/>
          <w:szCs w:val="20"/>
          <w:lang w:val="nl-NL"/>
        </w:rPr>
        <w:t>.</w:t>
      </w:r>
      <w:r w:rsidRPr="001A18AD">
        <w:rPr>
          <w:rStyle w:val="eop"/>
          <w:szCs w:val="20"/>
        </w:rPr>
        <w:t> </w:t>
      </w:r>
    </w:p>
    <w:p w14:paraId="4FB9CA67" w14:textId="05C10EFE" w:rsidR="005D4EB7" w:rsidRDefault="005D4EB7">
      <w:pPr>
        <w:pStyle w:val="Kop1"/>
      </w:pPr>
      <w:bookmarkStart w:id="61" w:name="_Toc132703172"/>
      <w:bookmarkStart w:id="62" w:name="_Toc135839951"/>
      <w:bookmarkStart w:id="63" w:name="_Toc150870556"/>
      <w:r>
        <w:t xml:space="preserve">Principe 4 – </w:t>
      </w:r>
      <w:bookmarkEnd w:id="61"/>
      <w:r w:rsidR="003A249A" w:rsidRPr="003A249A">
        <w:t>Proportionele minimumeisen in het technische bestek</w:t>
      </w:r>
      <w:bookmarkEnd w:id="62"/>
      <w:bookmarkEnd w:id="63"/>
    </w:p>
    <w:p w14:paraId="5DCA9D13" w14:textId="34C39559" w:rsidR="00437C23" w:rsidRPr="00C46FDC" w:rsidRDefault="00437C23">
      <w:pPr>
        <w:pStyle w:val="Kop2"/>
      </w:pPr>
      <w:bookmarkStart w:id="64" w:name="_Toc135839952"/>
      <w:bookmarkStart w:id="65" w:name="_Toc150870557"/>
      <w:r>
        <w:t>Doelstelling</w:t>
      </w:r>
      <w:bookmarkEnd w:id="64"/>
      <w:bookmarkEnd w:id="65"/>
    </w:p>
    <w:p w14:paraId="15CBE4DF" w14:textId="31626978" w:rsidR="008048FA" w:rsidRPr="008D1079" w:rsidRDefault="008D1079" w:rsidP="00C46FDC">
      <w:r w:rsidRPr="003C4A09">
        <w:rPr>
          <w:rStyle w:val="normaltextrun"/>
          <w:rFonts w:cs="Segoe UI"/>
          <w:lang w:val="nl-NL"/>
        </w:rPr>
        <w:t>De vraagspecificaties bij voorkeur functioneel en prestatiegericht opstellen, zodanig dat ze de concurrentie niet belemmeren en de ondernemingen voldoende ruimte laten om hun beste oplossingen aan te bieden.</w:t>
      </w:r>
    </w:p>
    <w:p w14:paraId="40F8BD64" w14:textId="77777777" w:rsidR="00437C23" w:rsidRDefault="00437C23">
      <w:pPr>
        <w:pStyle w:val="Kop2"/>
      </w:pPr>
      <w:bookmarkStart w:id="66" w:name="_Toc135839953"/>
      <w:bookmarkStart w:id="67" w:name="_Toc150870558"/>
      <w:r>
        <w:t>Wat zegt de reglementering overheidsopdrachten?</w:t>
      </w:r>
      <w:bookmarkEnd w:id="66"/>
      <w:bookmarkEnd w:id="67"/>
    </w:p>
    <w:p w14:paraId="511A55AC" w14:textId="1E42248D" w:rsidR="006A58F2" w:rsidRPr="003C4A09" w:rsidRDefault="006A58F2" w:rsidP="006A58F2">
      <w:pPr>
        <w:rPr>
          <w:rStyle w:val="normaltextrun"/>
          <w:rFonts w:cs="Segoe UI"/>
          <w:color w:val="000000"/>
          <w:lang w:val="nl-NL"/>
        </w:rPr>
      </w:pPr>
      <w:r w:rsidRPr="003C4A09">
        <w:rPr>
          <w:rStyle w:val="normaltextrun"/>
          <w:rFonts w:cs="Segoe UI"/>
          <w:color w:val="000000"/>
          <w:lang w:val="nl-NL"/>
        </w:rPr>
        <w:t xml:space="preserve">Het </w:t>
      </w:r>
      <w:r w:rsidRPr="003C4A09">
        <w:rPr>
          <w:rStyle w:val="normaltextrun"/>
          <w:rFonts w:cs="Segoe UI"/>
          <w:i/>
          <w:iCs/>
          <w:color w:val="000000"/>
          <w:lang w:val="nl-NL"/>
        </w:rPr>
        <w:t>technische bestek</w:t>
      </w:r>
      <w:r w:rsidRPr="003C4A09">
        <w:rPr>
          <w:rStyle w:val="normaltextrun"/>
          <w:rFonts w:cs="Segoe UI"/>
          <w:color w:val="000000"/>
          <w:lang w:val="nl-NL"/>
        </w:rPr>
        <w:t xml:space="preserve"> beschrijft de specificaties en (minimum)eisen van de voorgenomen opdracht. </w:t>
      </w:r>
    </w:p>
    <w:p w14:paraId="7A55879D" w14:textId="2FC05308" w:rsidR="006A58F2" w:rsidRDefault="006A58F2" w:rsidP="006A58F2">
      <w:pPr>
        <w:rPr>
          <w:rStyle w:val="normaltextrun"/>
          <w:rFonts w:cs="Segoe UI"/>
          <w:color w:val="000000"/>
          <w:lang w:val="nl-NL"/>
        </w:rPr>
      </w:pPr>
      <w:r>
        <w:rPr>
          <w:rStyle w:val="normaltextrun"/>
          <w:rFonts w:cs="Segoe UI"/>
          <w:color w:val="000000"/>
          <w:lang w:val="nl-NL"/>
        </w:rPr>
        <w:t>Artikel 53 van d</w:t>
      </w:r>
      <w:r w:rsidRPr="003C4A09">
        <w:rPr>
          <w:rStyle w:val="normaltextrun"/>
          <w:rFonts w:cs="Segoe UI"/>
          <w:color w:val="000000"/>
          <w:lang w:val="nl-NL"/>
        </w:rPr>
        <w:t xml:space="preserve">e wet van </w:t>
      </w:r>
      <w:hyperlink r:id="rId70" w:history="1">
        <w:r w:rsidRPr="003C4A09">
          <w:rPr>
            <w:rStyle w:val="Hyperlink"/>
            <w:rFonts w:cs="Segoe UI"/>
            <w:lang w:val="nl-NL"/>
          </w:rPr>
          <w:t>17 juni 2016</w:t>
        </w:r>
      </w:hyperlink>
      <w:r w:rsidRPr="003C4A09">
        <w:rPr>
          <w:rStyle w:val="normaltextrun"/>
          <w:rFonts w:cs="Segoe UI"/>
          <w:color w:val="000000"/>
          <w:lang w:val="nl-NL"/>
        </w:rPr>
        <w:t xml:space="preserve"> bepaalt </w:t>
      </w:r>
      <w:r w:rsidRPr="009C3C03">
        <w:rPr>
          <w:rStyle w:val="normaltextrun"/>
          <w:rFonts w:cs="Segoe UI"/>
          <w:lang w:val="nl-NL"/>
        </w:rPr>
        <w:t>dat</w:t>
      </w:r>
      <w:r>
        <w:rPr>
          <w:rStyle w:val="normaltextrun"/>
          <w:rFonts w:cs="Segoe UI"/>
          <w:lang w:val="nl-NL"/>
        </w:rPr>
        <w:t xml:space="preserve"> </w:t>
      </w:r>
      <w:r w:rsidRPr="009C3C03">
        <w:rPr>
          <w:rStyle w:val="normaltextrun"/>
          <w:rFonts w:cs="Segoe UI"/>
          <w:lang w:val="nl-NL"/>
        </w:rPr>
        <w:t>d</w:t>
      </w:r>
      <w:r w:rsidRPr="003C4A09">
        <w:rPr>
          <w:rStyle w:val="normaltextrun"/>
          <w:rFonts w:cs="Segoe UI"/>
          <w:color w:val="000000"/>
          <w:lang w:val="nl-NL"/>
        </w:rPr>
        <w:t xml:space="preserve">e </w:t>
      </w:r>
      <w:r w:rsidR="002F058F">
        <w:rPr>
          <w:rStyle w:val="normaltextrun"/>
          <w:rFonts w:cs="Segoe UI"/>
          <w:color w:val="000000"/>
          <w:lang w:val="nl-NL"/>
        </w:rPr>
        <w:t>aanbesteder</w:t>
      </w:r>
      <w:r w:rsidRPr="003C4A09">
        <w:rPr>
          <w:rStyle w:val="normaltextrun"/>
          <w:rFonts w:cs="Segoe UI"/>
          <w:color w:val="000000"/>
          <w:lang w:val="nl-NL"/>
        </w:rPr>
        <w:t xml:space="preserve"> de technische specificaties, waarin de voor een werk, levering of dienst gestelde kenmerken worden voorgeschreven, opneemt in de opdrachtdocumenten.</w:t>
      </w:r>
      <w:r>
        <w:rPr>
          <w:rStyle w:val="normaltextrun"/>
          <w:rFonts w:cs="Segoe UI"/>
          <w:color w:val="000000"/>
          <w:lang w:val="nl-NL"/>
        </w:rPr>
        <w:t xml:space="preserve"> </w:t>
      </w:r>
      <w:r w:rsidRPr="003C4A09">
        <w:rPr>
          <w:rStyle w:val="normaltextrun"/>
          <w:rFonts w:cs="Segoe UI"/>
          <w:color w:val="000000"/>
          <w:lang w:val="nl-NL"/>
        </w:rPr>
        <w:t>Die kenmerken kunnen verband houden met </w:t>
      </w:r>
    </w:p>
    <w:p w14:paraId="4E791D02" w14:textId="5BBCB0ED" w:rsidR="006A58F2" w:rsidRPr="00527836" w:rsidRDefault="006A58F2">
      <w:pPr>
        <w:pStyle w:val="Bullet1"/>
        <w:rPr>
          <w:rStyle w:val="normaltextrun"/>
          <w:rFonts w:cs="Segoe UI"/>
          <w:lang w:val="nl-BE"/>
        </w:rPr>
      </w:pPr>
      <w:r w:rsidRPr="00527836">
        <w:rPr>
          <w:rStyle w:val="normaltextrun"/>
          <w:rFonts w:cs="Segoe UI"/>
          <w:color w:val="000000"/>
          <w:lang w:val="nl-NL"/>
        </w:rPr>
        <w:t>het specifieke proces</w:t>
      </w:r>
      <w:r w:rsidR="00527836" w:rsidRPr="00527836">
        <w:rPr>
          <w:rStyle w:val="normaltextrun"/>
          <w:rFonts w:cs="Segoe UI"/>
          <w:color w:val="000000"/>
          <w:lang w:val="nl-NL"/>
        </w:rPr>
        <w:t xml:space="preserve"> </w:t>
      </w:r>
      <w:r w:rsidR="00E07F89" w:rsidRPr="00527836">
        <w:rPr>
          <w:rStyle w:val="normaltextrun"/>
          <w:rFonts w:cs="Segoe UI"/>
          <w:color w:val="000000"/>
          <w:lang w:val="nl-NL"/>
        </w:rPr>
        <w:t xml:space="preserve">of </w:t>
      </w:r>
      <w:r w:rsidRPr="00527836">
        <w:rPr>
          <w:rStyle w:val="normaltextrun"/>
          <w:rFonts w:cs="Segoe UI"/>
          <w:color w:val="000000"/>
          <w:lang w:val="nl-NL"/>
        </w:rPr>
        <w:t>de specifieke methode van productie of uitvoering van de gevraagde werken, leveringen of diensten</w:t>
      </w:r>
      <w:r w:rsidR="00E07F89" w:rsidRPr="00527836">
        <w:rPr>
          <w:rStyle w:val="normaltextrun"/>
          <w:rFonts w:cs="Segoe UI"/>
          <w:color w:val="000000"/>
          <w:lang w:val="nl-NL"/>
        </w:rPr>
        <w:t>;</w:t>
      </w:r>
      <w:r w:rsidRPr="00527836">
        <w:rPr>
          <w:rStyle w:val="normaltextrun"/>
          <w:rFonts w:cs="Segoe UI"/>
          <w:color w:val="000000"/>
          <w:lang w:val="nl-NL"/>
        </w:rPr>
        <w:t> </w:t>
      </w:r>
    </w:p>
    <w:p w14:paraId="175AAAFF" w14:textId="5C1548D7" w:rsidR="006A58F2" w:rsidRPr="003D5EFD" w:rsidRDefault="00E07F89">
      <w:pPr>
        <w:pStyle w:val="Bullet1"/>
        <w:rPr>
          <w:lang w:val="nl-BE"/>
        </w:rPr>
      </w:pPr>
      <w:r>
        <w:rPr>
          <w:rStyle w:val="normaltextrun"/>
          <w:rFonts w:cs="Segoe UI"/>
          <w:color w:val="000000"/>
          <w:lang w:val="nl-BE"/>
        </w:rPr>
        <w:t xml:space="preserve">of </w:t>
      </w:r>
      <w:r w:rsidR="006A58F2" w:rsidRPr="003C4A09">
        <w:rPr>
          <w:rStyle w:val="normaltextrun"/>
          <w:rFonts w:cs="Segoe UI"/>
          <w:color w:val="000000"/>
          <w:lang w:val="nl-NL"/>
        </w:rPr>
        <w:t xml:space="preserve">met een specifiek proces van een </w:t>
      </w:r>
      <w:r w:rsidR="006A58F2" w:rsidRPr="009532D7">
        <w:rPr>
          <w:rStyle w:val="normaltextrun"/>
          <w:rFonts w:cs="Segoe UI"/>
          <w:i/>
          <w:iCs/>
          <w:color w:val="000000"/>
          <w:lang w:val="nl-NL"/>
        </w:rPr>
        <w:t>ander stadium</w:t>
      </w:r>
      <w:r w:rsidR="006A58F2" w:rsidRPr="003C4A09">
        <w:rPr>
          <w:rStyle w:val="normaltextrun"/>
          <w:rFonts w:cs="Segoe UI"/>
          <w:color w:val="000000"/>
          <w:lang w:val="nl-NL"/>
        </w:rPr>
        <w:t xml:space="preserve"> van de levenscyclus ervan, zelfs wanneer die factoren niet tot de materiële essentie van de werken, leveringen of diensten behoren, mits zij met het voorwerp van de opdracht verbonden zijn en </w:t>
      </w:r>
      <w:r w:rsidR="006A58F2" w:rsidRPr="003C4A09">
        <w:rPr>
          <w:rStyle w:val="normaltextrun"/>
          <w:rFonts w:cs="Segoe UI"/>
          <w:b/>
          <w:bCs/>
          <w:color w:val="000000"/>
          <w:lang w:val="nl-NL"/>
        </w:rPr>
        <w:t>in verhouding staan tot de waarde en de doelstellingen ervan</w:t>
      </w:r>
      <w:r w:rsidR="006A58F2" w:rsidRPr="003C4A09">
        <w:rPr>
          <w:rStyle w:val="normaltextrun"/>
          <w:rFonts w:cs="Segoe UI"/>
          <w:color w:val="000000"/>
          <w:lang w:val="nl-NL"/>
        </w:rPr>
        <w:t>. </w:t>
      </w:r>
      <w:r w:rsidR="006A58F2" w:rsidRPr="003D5EFD">
        <w:rPr>
          <w:rStyle w:val="eop"/>
          <w:rFonts w:cs="Segoe UI"/>
          <w:color w:val="000000"/>
          <w:lang w:val="nl-BE"/>
        </w:rPr>
        <w:t> </w:t>
      </w:r>
    </w:p>
    <w:p w14:paraId="5B6FD510" w14:textId="511F7833" w:rsidR="006A58F2" w:rsidRPr="00655591" w:rsidRDefault="006A58F2" w:rsidP="006A58F2">
      <w:pPr>
        <w:rPr>
          <w:rStyle w:val="eop"/>
          <w:rFonts w:cs="Segoe UI"/>
        </w:rPr>
      </w:pPr>
      <w:r w:rsidRPr="003C4A09">
        <w:rPr>
          <w:rStyle w:val="normaltextrun"/>
          <w:rFonts w:cs="Segoe UI"/>
          <w:color w:val="000000"/>
          <w:lang w:val="nl-NL"/>
        </w:rPr>
        <w:t xml:space="preserve">De technische </w:t>
      </w:r>
      <w:r w:rsidRPr="00E92544">
        <w:rPr>
          <w:rStyle w:val="normaltextrun"/>
          <w:rFonts w:cs="Segoe UI"/>
          <w:b/>
          <w:bCs/>
          <w:color w:val="000000"/>
          <w:lang w:val="nl-NL"/>
        </w:rPr>
        <w:t xml:space="preserve">specificaties kunnen </w:t>
      </w:r>
      <w:r w:rsidR="00EF4ABD">
        <w:rPr>
          <w:rStyle w:val="normaltextrun"/>
          <w:rFonts w:cs="Segoe UI"/>
          <w:b/>
          <w:bCs/>
          <w:color w:val="000000"/>
          <w:lang w:val="nl-NL"/>
        </w:rPr>
        <w:t xml:space="preserve">mee </w:t>
      </w:r>
      <w:r w:rsidRPr="00E92544">
        <w:rPr>
          <w:rStyle w:val="normaltextrun"/>
          <w:rFonts w:cs="Segoe UI"/>
          <w:b/>
          <w:bCs/>
          <w:color w:val="000000"/>
          <w:lang w:val="nl-NL"/>
        </w:rPr>
        <w:t>bepalen of de overdracht van intellectuele eigendomsrechten vereist is</w:t>
      </w:r>
      <w:r w:rsidRPr="003C4A09">
        <w:rPr>
          <w:rStyle w:val="normaltextrun"/>
          <w:rFonts w:cs="Segoe UI"/>
          <w:color w:val="000000"/>
          <w:lang w:val="nl-NL"/>
        </w:rPr>
        <w:t>.</w:t>
      </w:r>
      <w:r>
        <w:rPr>
          <w:rStyle w:val="normaltextrun"/>
          <w:rFonts w:cs="Segoe UI"/>
          <w:color w:val="000000"/>
          <w:lang w:val="nl-NL"/>
        </w:rPr>
        <w:t xml:space="preserve"> De aanbesteder dient dat aspect zorgvuldig mee te nemen in zijn overwegingen. </w:t>
      </w:r>
      <w:r w:rsidRPr="007E2003">
        <w:rPr>
          <w:rStyle w:val="normaltextrun"/>
          <w:rFonts w:cs="Segoe UI"/>
          <w:lang w:val="nl-NL"/>
        </w:rPr>
        <w:t>Voor meer info</w:t>
      </w:r>
      <w:r>
        <w:rPr>
          <w:rStyle w:val="normaltextrun"/>
          <w:rFonts w:cs="Segoe UI"/>
          <w:lang w:val="nl-NL"/>
        </w:rPr>
        <w:t>rmatie</w:t>
      </w:r>
      <w:r w:rsidRPr="007E2003">
        <w:rPr>
          <w:rStyle w:val="normaltextrun"/>
          <w:rFonts w:cs="Segoe UI"/>
          <w:lang w:val="nl-NL"/>
        </w:rPr>
        <w:t xml:space="preserve"> over intellectuele eigendomsrechten en het belang ervan voor de toegang van kmo’s tot overheidsopdrachten, zie </w:t>
      </w:r>
      <w:r w:rsidRPr="001A18AD">
        <w:rPr>
          <w:rStyle w:val="normaltextrun"/>
          <w:rFonts w:cs="Segoe UI"/>
          <w:lang w:val="nl-NL"/>
        </w:rPr>
        <w:t xml:space="preserve">principe </w:t>
      </w:r>
      <w:r w:rsidR="00655591" w:rsidRPr="001A18AD">
        <w:rPr>
          <w:rStyle w:val="normaltextrun"/>
          <w:rFonts w:cs="Segoe UI"/>
          <w:lang w:val="nl-NL"/>
        </w:rPr>
        <w:t>5</w:t>
      </w:r>
      <w:r w:rsidRPr="001A18AD">
        <w:rPr>
          <w:rStyle w:val="normaltextrun"/>
          <w:rFonts w:cs="Segoe UI"/>
          <w:lang w:val="nl-NL"/>
        </w:rPr>
        <w:t>.</w:t>
      </w:r>
      <w:r w:rsidRPr="007E2003">
        <w:rPr>
          <w:rStyle w:val="normaltextrun"/>
          <w:rFonts w:cs="Segoe UI"/>
          <w:lang w:val="nl-NL"/>
        </w:rPr>
        <w:t> </w:t>
      </w:r>
      <w:r w:rsidRPr="007E2003">
        <w:rPr>
          <w:rStyle w:val="eop"/>
          <w:rFonts w:cs="Segoe UI"/>
        </w:rPr>
        <w:t> </w:t>
      </w:r>
    </w:p>
    <w:p w14:paraId="6C4DA991" w14:textId="3417C4E7" w:rsidR="006A58F2" w:rsidRDefault="006A58F2" w:rsidP="006A58F2">
      <w:pPr>
        <w:rPr>
          <w:rStyle w:val="normaltextrun"/>
          <w:rFonts w:cs="Segoe UI"/>
          <w:color w:val="000000"/>
          <w:sz w:val="22"/>
          <w:szCs w:val="22"/>
          <w:lang w:val="nl-NL"/>
        </w:rPr>
      </w:pPr>
      <w:r w:rsidRPr="003C4A09">
        <w:rPr>
          <w:rStyle w:val="normaltextrun"/>
          <w:rFonts w:cs="Segoe UI"/>
          <w:color w:val="000000"/>
          <w:lang w:val="nl-NL"/>
        </w:rPr>
        <w:t xml:space="preserve">De technische specificaties moeten de </w:t>
      </w:r>
      <w:r w:rsidR="005651EE">
        <w:rPr>
          <w:rStyle w:val="normaltextrun"/>
          <w:rFonts w:cs="Segoe UI"/>
          <w:color w:val="000000"/>
          <w:lang w:val="nl-NL"/>
        </w:rPr>
        <w:t>ondernemingen</w:t>
      </w:r>
      <w:r w:rsidR="005651EE" w:rsidRPr="003C4A09">
        <w:rPr>
          <w:rStyle w:val="normaltextrun"/>
          <w:rFonts w:cs="Segoe UI"/>
          <w:color w:val="000000"/>
          <w:lang w:val="nl-NL"/>
        </w:rPr>
        <w:t xml:space="preserve"> </w:t>
      </w:r>
      <w:r w:rsidRPr="003C4A09">
        <w:rPr>
          <w:rStyle w:val="normaltextrun"/>
          <w:rFonts w:cs="Segoe UI"/>
          <w:b/>
          <w:bCs/>
          <w:color w:val="000000"/>
          <w:lang w:val="nl-NL"/>
        </w:rPr>
        <w:t>gelijke toegang</w:t>
      </w:r>
      <w:r w:rsidRPr="003C4A09">
        <w:rPr>
          <w:rStyle w:val="normaltextrun"/>
          <w:rFonts w:cs="Segoe UI"/>
          <w:color w:val="000000"/>
          <w:lang w:val="nl-NL"/>
        </w:rPr>
        <w:t xml:space="preserve"> bieden tot de plaatsingsprocedure en mogen</w:t>
      </w:r>
      <w:r>
        <w:rPr>
          <w:rStyle w:val="normaltextrun"/>
          <w:rFonts w:cs="Segoe UI"/>
          <w:color w:val="000000"/>
          <w:lang w:val="nl-NL"/>
        </w:rPr>
        <w:t xml:space="preserve"> niet</w:t>
      </w:r>
      <w:r w:rsidRPr="003C4A09">
        <w:rPr>
          <w:rStyle w:val="normaltextrun"/>
          <w:rFonts w:cs="Segoe UI"/>
          <w:color w:val="000000"/>
          <w:lang w:val="nl-NL"/>
        </w:rPr>
        <w:t xml:space="preserve"> leiden tot ongerechtvaardigde mededingingsbelemmeringen</w:t>
      </w:r>
      <w:r w:rsidRPr="003C4A09">
        <w:rPr>
          <w:rStyle w:val="normaltextrun"/>
          <w:sz w:val="22"/>
          <w:szCs w:val="22"/>
          <w:lang w:val="nl-NL"/>
        </w:rPr>
        <w:t>.</w:t>
      </w:r>
      <w:r>
        <w:rPr>
          <w:rStyle w:val="normaltextrun"/>
          <w:sz w:val="22"/>
          <w:szCs w:val="22"/>
          <w:lang w:val="nl-NL"/>
        </w:rPr>
        <w:t xml:space="preserve"> </w:t>
      </w:r>
      <w:r w:rsidRPr="003C4A09">
        <w:rPr>
          <w:rStyle w:val="normaltextrun"/>
          <w:rFonts w:cs="Segoe UI"/>
          <w:color w:val="000000"/>
          <w:lang w:val="nl-NL"/>
        </w:rPr>
        <w:t>De technische specificaties worden opgesteld aan de hand van</w:t>
      </w:r>
      <w:r w:rsidR="0064653F">
        <w:rPr>
          <w:rStyle w:val="normaltextrun"/>
          <w:rFonts w:cs="Segoe UI"/>
          <w:color w:val="000000"/>
          <w:lang w:val="nl-NL"/>
        </w:rPr>
        <w:t xml:space="preserve"> onder meer</w:t>
      </w:r>
      <w:r w:rsidRPr="003C4A09">
        <w:rPr>
          <w:rStyle w:val="normaltextrun"/>
          <w:rFonts w:cs="Segoe UI"/>
          <w:color w:val="000000"/>
          <w:lang w:val="nl-NL"/>
        </w:rPr>
        <w:t xml:space="preserve"> </w:t>
      </w:r>
      <w:r w:rsidRPr="003C4A09">
        <w:rPr>
          <w:rStyle w:val="normaltextrun"/>
          <w:rFonts w:cs="Segoe UI"/>
          <w:b/>
          <w:bCs/>
          <w:color w:val="000000"/>
          <w:lang w:val="nl-NL"/>
        </w:rPr>
        <w:t>prestatie- of functionele eisen</w:t>
      </w:r>
      <w:r w:rsidRPr="003C4A09">
        <w:rPr>
          <w:rStyle w:val="normaltextrun"/>
          <w:rFonts w:cs="Segoe UI"/>
          <w:color w:val="000000"/>
          <w:lang w:val="nl-NL"/>
        </w:rPr>
        <w:t xml:space="preserve">, inclusief milieukenmerken, mits deze zo nauwkeurig zijn dat de inschrijvers het voorwerp van de opdracht kunnen bepalen en de </w:t>
      </w:r>
      <w:r w:rsidR="009A2551">
        <w:rPr>
          <w:rStyle w:val="normaltextrun"/>
          <w:rFonts w:cs="Segoe UI"/>
          <w:color w:val="000000"/>
          <w:lang w:val="nl-NL"/>
        </w:rPr>
        <w:t>aanbesteder</w:t>
      </w:r>
      <w:r w:rsidRPr="003C4A09">
        <w:rPr>
          <w:rStyle w:val="normaltextrun"/>
          <w:rFonts w:cs="Segoe UI"/>
          <w:color w:val="000000"/>
          <w:lang w:val="nl-NL"/>
        </w:rPr>
        <w:t xml:space="preserve"> de opdracht kan gunnen. </w:t>
      </w:r>
    </w:p>
    <w:p w14:paraId="10B73410" w14:textId="77777777" w:rsidR="006A58F2" w:rsidRDefault="006A58F2" w:rsidP="006A58F2">
      <w:pPr>
        <w:rPr>
          <w:rStyle w:val="normaltextrun"/>
          <w:rFonts w:cs="Segoe UI"/>
          <w:color w:val="000000"/>
          <w:lang w:val="nl-NL"/>
        </w:rPr>
      </w:pPr>
      <w:r w:rsidRPr="003C4A09">
        <w:rPr>
          <w:rStyle w:val="normaltextrun"/>
          <w:rFonts w:cs="Segoe UI"/>
          <w:color w:val="000000"/>
          <w:lang w:val="nl-NL"/>
        </w:rPr>
        <w:t xml:space="preserve">In de technische specificaties mag, </w:t>
      </w:r>
      <w:r w:rsidRPr="007A51C0">
        <w:rPr>
          <w:rStyle w:val="normaltextrun"/>
          <w:rFonts w:cs="Segoe UI"/>
          <w:b/>
          <w:bCs/>
          <w:color w:val="000000"/>
          <w:lang w:val="nl-NL"/>
        </w:rPr>
        <w:t>op enkele specifieke uitzonderingen</w:t>
      </w:r>
      <w:r w:rsidRPr="003C4A09">
        <w:rPr>
          <w:rStyle w:val="normaltextrun"/>
          <w:rFonts w:cs="Segoe UI"/>
          <w:color w:val="000000"/>
          <w:lang w:val="nl-NL"/>
        </w:rPr>
        <w:t xml:space="preserve"> na</w:t>
      </w:r>
      <w:r w:rsidRPr="00F62565">
        <w:rPr>
          <w:rStyle w:val="normaltextrun"/>
          <w:rFonts w:cs="Segoe UI"/>
          <w:color w:val="000000"/>
          <w:lang w:val="nl-NL"/>
        </w:rPr>
        <w:t xml:space="preserve">, </w:t>
      </w:r>
      <w:r w:rsidRPr="00F62565">
        <w:rPr>
          <w:rStyle w:val="normaltextrun"/>
          <w:rFonts w:cs="Segoe UI"/>
          <w:b/>
          <w:bCs/>
          <w:color w:val="000000"/>
          <w:lang w:val="nl-NL"/>
        </w:rPr>
        <w:t>geen melding</w:t>
      </w:r>
      <w:r w:rsidRPr="00F62565">
        <w:rPr>
          <w:rStyle w:val="normaltextrun"/>
          <w:rFonts w:cs="Segoe UI"/>
          <w:color w:val="000000"/>
          <w:lang w:val="nl-NL"/>
        </w:rPr>
        <w:t xml:space="preserve"> worden gemaakt van</w:t>
      </w:r>
    </w:p>
    <w:p w14:paraId="5F54FEEF" w14:textId="77777777" w:rsidR="006A58F2" w:rsidRPr="003D5EFD" w:rsidRDefault="006A58F2">
      <w:pPr>
        <w:pStyle w:val="Bullet1"/>
        <w:rPr>
          <w:rStyle w:val="eop"/>
          <w:rFonts w:cs="Segoe UI"/>
          <w:color w:val="000000"/>
          <w:lang w:val="nl-BE"/>
        </w:rPr>
      </w:pPr>
      <w:r w:rsidRPr="00F62565">
        <w:rPr>
          <w:rStyle w:val="normaltextrun"/>
          <w:rFonts w:cs="Segoe UI"/>
          <w:color w:val="000000"/>
          <w:lang w:val="nl-NL"/>
        </w:rPr>
        <w:t xml:space="preserve">een bepaald </w:t>
      </w:r>
      <w:r w:rsidRPr="00F62565">
        <w:rPr>
          <w:rStyle w:val="normaltextrun"/>
          <w:rFonts w:cs="Segoe UI"/>
          <w:b/>
          <w:bCs/>
          <w:color w:val="000000"/>
          <w:lang w:val="nl-NL"/>
        </w:rPr>
        <w:t>fabricaat</w:t>
      </w:r>
      <w:r w:rsidRPr="00F62565">
        <w:rPr>
          <w:rStyle w:val="normaltextrun"/>
          <w:rFonts w:cs="Segoe UI"/>
          <w:color w:val="000000"/>
          <w:lang w:val="nl-NL"/>
        </w:rPr>
        <w:t xml:space="preserve"> of een bepaalde herkomst, of van een bijzonde</w:t>
      </w:r>
      <w:r w:rsidRPr="003C4A09">
        <w:rPr>
          <w:rStyle w:val="normaltextrun"/>
          <w:rFonts w:cs="Segoe UI"/>
          <w:color w:val="000000"/>
          <w:lang w:val="nl-NL"/>
        </w:rPr>
        <w:t>re werkwijze die kenmerkend is voor de producten of diensten van een bepaalde ondernemer</w:t>
      </w:r>
      <w:r>
        <w:rPr>
          <w:rStyle w:val="normaltextrun"/>
          <w:rFonts w:cs="Segoe UI"/>
          <w:color w:val="000000"/>
          <w:lang w:val="nl-NL"/>
        </w:rPr>
        <w:t>;</w:t>
      </w:r>
    </w:p>
    <w:p w14:paraId="5AC50EB5" w14:textId="77777777" w:rsidR="006A58F2" w:rsidRPr="003D5EFD" w:rsidRDefault="006A58F2">
      <w:pPr>
        <w:pStyle w:val="Bullet1"/>
        <w:rPr>
          <w:rStyle w:val="normaltextrun"/>
          <w:rFonts w:cs="Segoe UI"/>
          <w:color w:val="000000"/>
          <w:lang w:val="nl-BE"/>
        </w:rPr>
      </w:pPr>
      <w:r w:rsidRPr="003C4A09">
        <w:rPr>
          <w:rStyle w:val="normaltextrun"/>
          <w:rFonts w:cs="Segoe UI"/>
          <w:color w:val="000000"/>
          <w:lang w:val="nl-NL"/>
        </w:rPr>
        <w:t>noch mogen ze een verwijzing bevatten naar een merk, een octrooi of een type, een bepaalde oorsprong of een bepaalde productie</w:t>
      </w:r>
      <w:r>
        <w:rPr>
          <w:rStyle w:val="normaltextrun"/>
          <w:rFonts w:cs="Segoe UI"/>
          <w:color w:val="000000"/>
          <w:lang w:val="nl-NL"/>
        </w:rPr>
        <w:t>;</w:t>
      </w:r>
      <w:r w:rsidRPr="003D5EFD">
        <w:rPr>
          <w:rStyle w:val="normaltextrun"/>
          <w:rFonts w:cs="Segoe UI"/>
          <w:color w:val="000000"/>
          <w:lang w:val="nl-BE"/>
        </w:rPr>
        <w:t xml:space="preserve"> </w:t>
      </w:r>
    </w:p>
    <w:p w14:paraId="20745C8F" w14:textId="77777777" w:rsidR="00EF4AEE" w:rsidRDefault="006A58F2" w:rsidP="006A58F2">
      <w:pPr>
        <w:rPr>
          <w:rStyle w:val="normaltextrun"/>
          <w:rFonts w:cs="Segoe UI"/>
          <w:color w:val="000000"/>
          <w:lang w:val="nl-NL"/>
        </w:rPr>
      </w:pPr>
      <w:r w:rsidRPr="003C4A09">
        <w:rPr>
          <w:rStyle w:val="normaltextrun"/>
          <w:rFonts w:cs="Segoe UI"/>
          <w:color w:val="000000"/>
          <w:lang w:val="nl-NL"/>
        </w:rPr>
        <w:t>waardoor bepaalde ondernemingen of bepaalde producten worden bevoordeeld of geëlimineerd.</w:t>
      </w:r>
    </w:p>
    <w:p w14:paraId="54D22792" w14:textId="12C9ED7B" w:rsidR="006A58F2" w:rsidRPr="003C4A09" w:rsidRDefault="00EF4AEE" w:rsidP="006A58F2">
      <w:pPr>
        <w:rPr>
          <w:rFonts w:ascii="Segoe UI" w:hAnsi="Segoe UI"/>
          <w:sz w:val="16"/>
          <w:szCs w:val="16"/>
        </w:rPr>
      </w:pPr>
      <w:r>
        <w:rPr>
          <w:rStyle w:val="normaltextrun"/>
          <w:rFonts w:cs="Segoe UI"/>
          <w:color w:val="000000"/>
          <w:lang w:val="nl-NL"/>
        </w:rPr>
        <w:t>Wat d</w:t>
      </w:r>
      <w:r w:rsidR="009D01FC">
        <w:rPr>
          <w:rStyle w:val="normaltextrun"/>
          <w:rFonts w:cs="Segoe UI"/>
          <w:color w:val="000000"/>
          <w:lang w:val="nl-NL"/>
        </w:rPr>
        <w:t>i</w:t>
      </w:r>
      <w:r>
        <w:rPr>
          <w:rStyle w:val="normaltextrun"/>
          <w:rFonts w:cs="Segoe UI"/>
          <w:color w:val="000000"/>
          <w:lang w:val="nl-NL"/>
        </w:rPr>
        <w:t>e uitzonderingen b</w:t>
      </w:r>
      <w:r w:rsidR="005C00CD">
        <w:rPr>
          <w:rStyle w:val="normaltextrun"/>
          <w:rFonts w:cs="Segoe UI"/>
          <w:color w:val="000000"/>
          <w:lang w:val="nl-NL"/>
        </w:rPr>
        <w:t xml:space="preserve">etreft, stelt artikel 53, §4, dat </w:t>
      </w:r>
      <w:r w:rsidR="00745051">
        <w:rPr>
          <w:rStyle w:val="normaltextrun"/>
          <w:rFonts w:cs="Segoe UI"/>
          <w:color w:val="000000"/>
          <w:lang w:val="nl-NL"/>
        </w:rPr>
        <w:t xml:space="preserve">dit </w:t>
      </w:r>
      <w:r w:rsidR="005C00CD" w:rsidRPr="005C00CD">
        <w:rPr>
          <w:rStyle w:val="normaltextrun"/>
          <w:rFonts w:cs="Segoe UI"/>
          <w:color w:val="000000"/>
          <w:lang w:val="nl-NL"/>
        </w:rPr>
        <w:t>alleen toegestaan</w:t>
      </w:r>
      <w:r w:rsidR="00745051">
        <w:rPr>
          <w:rStyle w:val="normaltextrun"/>
          <w:rFonts w:cs="Segoe UI"/>
          <w:color w:val="000000"/>
          <w:lang w:val="nl-NL"/>
        </w:rPr>
        <w:t xml:space="preserve"> is</w:t>
      </w:r>
      <w:r w:rsidR="005C00CD" w:rsidRPr="005C00CD">
        <w:rPr>
          <w:rStyle w:val="normaltextrun"/>
          <w:rFonts w:cs="Segoe UI"/>
          <w:color w:val="000000"/>
          <w:lang w:val="nl-NL"/>
        </w:rPr>
        <w:t xml:space="preserve"> wanneer geen voldoende nauwkeurige en begrijpelijke omschrijving van het voorwerp van de opdracht mogelijk zou zijn of indien dit door het voorwerp van de opdracht is gerechtvaardigd. Bij niet-naleving van </w:t>
      </w:r>
      <w:r w:rsidR="005C00CD" w:rsidRPr="005C00CD">
        <w:rPr>
          <w:rStyle w:val="normaltextrun"/>
          <w:rFonts w:cs="Segoe UI"/>
          <w:color w:val="000000"/>
          <w:lang w:val="nl-NL"/>
        </w:rPr>
        <w:lastRenderedPageBreak/>
        <w:t>de toepasselijke verplichtingen door de aanbesteder, kan de inschrijver een gelijkwaardig product of dienst aanbieden</w:t>
      </w:r>
      <w:r w:rsidR="00A24C17">
        <w:rPr>
          <w:rStyle w:val="normaltextrun"/>
          <w:rFonts w:cs="Segoe UI"/>
          <w:color w:val="000000"/>
          <w:lang w:val="nl-NL"/>
        </w:rPr>
        <w:t xml:space="preserve"> – zie de desbetreffende paragraaf voor de details.</w:t>
      </w:r>
    </w:p>
    <w:p w14:paraId="52F4A5EA" w14:textId="29637BBC" w:rsidR="00C46FDC" w:rsidRPr="003673B4" w:rsidRDefault="006A58F2" w:rsidP="00437C23">
      <w:pPr>
        <w:rPr>
          <w:rFonts w:cs="Segoe UI"/>
          <w:color w:val="000000"/>
        </w:rPr>
      </w:pPr>
      <w:r w:rsidRPr="003C4A09">
        <w:rPr>
          <w:rStyle w:val="normaltextrun"/>
          <w:rFonts w:cs="Segoe UI"/>
          <w:color w:val="000000"/>
          <w:lang w:val="nl-NL"/>
        </w:rPr>
        <w:t>Tot slot word</w:t>
      </w:r>
      <w:r>
        <w:rPr>
          <w:rStyle w:val="normaltextrun"/>
          <w:rFonts w:cs="Segoe UI"/>
          <w:color w:val="000000"/>
          <w:lang w:val="nl-NL"/>
        </w:rPr>
        <w:t>t</w:t>
      </w:r>
      <w:r w:rsidRPr="003C4A09">
        <w:rPr>
          <w:rStyle w:val="normaltextrun"/>
          <w:rFonts w:cs="Segoe UI"/>
          <w:color w:val="000000"/>
          <w:lang w:val="nl-NL"/>
        </w:rPr>
        <w:t xml:space="preserve"> aangestipt dat</w:t>
      </w:r>
      <w:r>
        <w:rPr>
          <w:rStyle w:val="normaltextrun"/>
          <w:rFonts w:cs="Segoe UI"/>
          <w:color w:val="000000"/>
          <w:lang w:val="nl-NL"/>
        </w:rPr>
        <w:t xml:space="preserve"> artikel 54 van</w:t>
      </w:r>
      <w:r w:rsidRPr="003C4A09">
        <w:rPr>
          <w:rStyle w:val="normaltextrun"/>
          <w:rFonts w:cs="Segoe UI"/>
          <w:color w:val="000000"/>
          <w:lang w:val="nl-NL"/>
        </w:rPr>
        <w:t xml:space="preserve"> de wet bepaalt dat wanneer de </w:t>
      </w:r>
      <w:r w:rsidR="00E811FC">
        <w:rPr>
          <w:rStyle w:val="normaltextrun"/>
          <w:rFonts w:cs="Segoe UI"/>
          <w:color w:val="000000"/>
          <w:lang w:val="nl-NL"/>
        </w:rPr>
        <w:t xml:space="preserve">aanbesteder </w:t>
      </w:r>
      <w:r w:rsidRPr="003C4A09">
        <w:rPr>
          <w:rStyle w:val="normaltextrun"/>
          <w:rFonts w:cs="Segoe UI"/>
          <w:color w:val="000000"/>
          <w:lang w:val="nl-NL"/>
        </w:rPr>
        <w:t xml:space="preserve">het voornemen heeft werken, leveringen of diensten met specifieke milieu-, sociale of andere kenmerken aan te kopen, zij een </w:t>
      </w:r>
      <w:r w:rsidRPr="003C4A09">
        <w:rPr>
          <w:rStyle w:val="normaltextrun"/>
          <w:rFonts w:cs="Segoe UI"/>
          <w:b/>
          <w:bCs/>
          <w:color w:val="000000"/>
          <w:lang w:val="nl-NL"/>
        </w:rPr>
        <w:t>specifiek keurmerk</w:t>
      </w:r>
      <w:r w:rsidRPr="003C4A09">
        <w:rPr>
          <w:rStyle w:val="normaltextrun"/>
          <w:rFonts w:cs="Segoe UI"/>
          <w:color w:val="000000"/>
          <w:lang w:val="nl-NL"/>
        </w:rPr>
        <w:t xml:space="preserve"> </w:t>
      </w:r>
      <w:r w:rsidRPr="002D0ECD">
        <w:rPr>
          <w:rStyle w:val="normaltextrun"/>
          <w:rFonts w:cs="Segoe UI"/>
          <w:lang w:val="nl-NL"/>
        </w:rPr>
        <w:t xml:space="preserve">kan </w:t>
      </w:r>
      <w:r w:rsidRPr="003C4A09">
        <w:rPr>
          <w:rStyle w:val="normaltextrun"/>
          <w:rFonts w:cs="Segoe UI"/>
          <w:color w:val="000000"/>
          <w:lang w:val="nl-NL"/>
        </w:rPr>
        <w:t>eisen in de technische specificaties, de gunningscriteria of de contractvoorwaarden betreffende de uitvoering van de opdracht.</w:t>
      </w:r>
      <w:r w:rsidRPr="003C4A09">
        <w:rPr>
          <w:rStyle w:val="eop"/>
          <w:rFonts w:cs="Segoe UI"/>
          <w:color w:val="000000"/>
        </w:rPr>
        <w:t> </w:t>
      </w:r>
    </w:p>
    <w:p w14:paraId="5BDE3AC5" w14:textId="3AEF528A" w:rsidR="00437C23" w:rsidRPr="00C02627" w:rsidRDefault="00437C23">
      <w:pPr>
        <w:pStyle w:val="Kop2"/>
      </w:pPr>
      <w:bookmarkStart w:id="68" w:name="_Toc135839954"/>
      <w:bookmarkStart w:id="69" w:name="_Toc150870559"/>
      <w:r>
        <w:t>Toelichting</w:t>
      </w:r>
      <w:bookmarkEnd w:id="68"/>
      <w:bookmarkEnd w:id="69"/>
    </w:p>
    <w:p w14:paraId="10E1FB57" w14:textId="77777777" w:rsidR="00C02627" w:rsidRPr="001969C1" w:rsidRDefault="00C02627" w:rsidP="00C02627">
      <w:pPr>
        <w:rPr>
          <w:rFonts w:ascii="Segoe UI" w:hAnsi="Segoe UI"/>
          <w:sz w:val="16"/>
          <w:szCs w:val="16"/>
        </w:rPr>
      </w:pPr>
      <w:r w:rsidRPr="003C4A09">
        <w:rPr>
          <w:rStyle w:val="normaltextrun"/>
          <w:rFonts w:cs="Segoe UI"/>
          <w:color w:val="000000"/>
          <w:lang w:val="nl-NL"/>
        </w:rPr>
        <w:t xml:space="preserve">De kenmerken van de technische specificaties moeten </w:t>
      </w:r>
      <w:r w:rsidRPr="008E310E">
        <w:rPr>
          <w:rStyle w:val="normaltextrun"/>
          <w:rFonts w:cs="Segoe UI"/>
          <w:b/>
          <w:bCs/>
          <w:color w:val="0070C0"/>
          <w:lang w:val="nl-NL"/>
        </w:rPr>
        <w:t>steeds met het voorwerp van de opdracht verbonden zijn, en in verhouding staan tot de waarde en de doelstellingen ervan</w:t>
      </w:r>
      <w:r w:rsidRPr="003C4A09">
        <w:rPr>
          <w:rStyle w:val="normaltextrun"/>
          <w:rFonts w:cs="Segoe UI"/>
          <w:color w:val="000000"/>
          <w:lang w:val="nl-NL"/>
        </w:rPr>
        <w:t>. De technische specificaties moeten ook op zodanige wijze worden opgesteld dat kunstmatige concurrentiebeperking, die erin bestaat eisen te stellen die een bepaalde ondernemer bevoordelen, wordt voorkomen. De opgestelde technische specificaties moeten immers een maximale mededinging toelaten</w:t>
      </w:r>
      <w:r w:rsidRPr="001969C1">
        <w:rPr>
          <w:rStyle w:val="normaltextrun"/>
          <w:rFonts w:cs="Segoe UI"/>
          <w:lang w:val="nl-NL"/>
        </w:rPr>
        <w:t>, iets wat in het kader van dit charter nogmaals benadrukt wordt.</w:t>
      </w:r>
      <w:r w:rsidRPr="001969C1">
        <w:rPr>
          <w:rStyle w:val="eop"/>
          <w:rFonts w:cs="Segoe UI"/>
        </w:rPr>
        <w:t> </w:t>
      </w:r>
    </w:p>
    <w:p w14:paraId="241A7D72" w14:textId="41B95A52" w:rsidR="00C02627" w:rsidRPr="003C4A09" w:rsidRDefault="00C02627" w:rsidP="00C02627">
      <w:pPr>
        <w:rPr>
          <w:rFonts w:ascii="Segoe UI" w:hAnsi="Segoe UI"/>
          <w:sz w:val="16"/>
          <w:szCs w:val="16"/>
        </w:rPr>
      </w:pPr>
      <w:r>
        <w:rPr>
          <w:rStyle w:val="normaltextrun"/>
          <w:rFonts w:cs="Segoe UI"/>
          <w:color w:val="000000"/>
          <w:lang w:val="nl-NL"/>
        </w:rPr>
        <w:t>Zoals reeds vermeld mogen</w:t>
      </w:r>
      <w:r w:rsidRPr="003C4A09">
        <w:rPr>
          <w:rStyle w:val="normaltextrun"/>
          <w:rFonts w:cs="Segoe UI"/>
          <w:color w:val="000000"/>
          <w:lang w:val="nl-NL"/>
        </w:rPr>
        <w:t xml:space="preserve"> de kenmerken van de technische specificaties zowel verband houden met het specifieke proces of de specifieke methode van productie van de gevraagde werken, leveringen of diensten, als met een proces dat eigen is aan een </w:t>
      </w:r>
      <w:r w:rsidRPr="00A5624D">
        <w:rPr>
          <w:rStyle w:val="normaltextrun"/>
          <w:rFonts w:cs="Segoe UI"/>
          <w:i/>
          <w:iCs/>
          <w:color w:val="000000"/>
          <w:lang w:val="nl-NL"/>
        </w:rPr>
        <w:t>ander</w:t>
      </w:r>
      <w:r w:rsidRPr="003C4A09">
        <w:rPr>
          <w:rStyle w:val="normaltextrun"/>
          <w:rFonts w:cs="Segoe UI"/>
          <w:color w:val="000000"/>
          <w:lang w:val="nl-NL"/>
        </w:rPr>
        <w:t xml:space="preserve"> </w:t>
      </w:r>
      <w:r w:rsidRPr="0045425A">
        <w:rPr>
          <w:rStyle w:val="normaltextrun"/>
          <w:rFonts w:cs="Segoe UI"/>
          <w:i/>
          <w:iCs/>
          <w:color w:val="000000"/>
          <w:lang w:val="nl-NL"/>
        </w:rPr>
        <w:t>stadium</w:t>
      </w:r>
      <w:r w:rsidRPr="003C4A09">
        <w:rPr>
          <w:rStyle w:val="normaltextrun"/>
          <w:rFonts w:cs="Segoe UI"/>
          <w:color w:val="000000"/>
          <w:lang w:val="nl-NL"/>
        </w:rPr>
        <w:t xml:space="preserve"> van hun levenscyclus, zelfs wanneer die factoren niet tot hun materiële essentie behoren. Naast de openstelling van de overheidsopdrachten voor mededinging, moeten </w:t>
      </w:r>
      <w:r w:rsidR="004730AC">
        <w:rPr>
          <w:rStyle w:val="normaltextrun"/>
          <w:rFonts w:cs="Segoe UI"/>
          <w:color w:val="000000"/>
          <w:lang w:val="nl-NL"/>
        </w:rPr>
        <w:t>de specificaties</w:t>
      </w:r>
      <w:r w:rsidR="004730AC" w:rsidRPr="003C4A09">
        <w:rPr>
          <w:rStyle w:val="normaltextrun"/>
          <w:rFonts w:cs="Segoe UI"/>
          <w:color w:val="000000"/>
          <w:lang w:val="nl-NL"/>
        </w:rPr>
        <w:t xml:space="preserve"> </w:t>
      </w:r>
      <w:r w:rsidRPr="003C4A09">
        <w:rPr>
          <w:rStyle w:val="normaltextrun"/>
          <w:rFonts w:cs="Segoe UI"/>
          <w:color w:val="000000"/>
          <w:lang w:val="nl-NL"/>
        </w:rPr>
        <w:t xml:space="preserve">immers </w:t>
      </w:r>
      <w:r w:rsidRPr="004730AC">
        <w:rPr>
          <w:rStyle w:val="normaltextrun"/>
          <w:rFonts w:cs="Segoe UI"/>
          <w:b/>
          <w:bCs/>
          <w:color w:val="000000"/>
          <w:lang w:val="nl-NL"/>
        </w:rPr>
        <w:t>ook de verwezenlijking van onder meer duurzaamheidsdoelstellingen mogelijk maken</w:t>
      </w:r>
      <w:r w:rsidRPr="003C4A09">
        <w:rPr>
          <w:rStyle w:val="normaltextrun"/>
          <w:rFonts w:cs="Segoe UI"/>
          <w:color w:val="000000"/>
          <w:lang w:val="nl-NL"/>
        </w:rPr>
        <w:t>.</w:t>
      </w:r>
      <w:r w:rsidRPr="003C4A09">
        <w:rPr>
          <w:rStyle w:val="eop"/>
          <w:rFonts w:cs="Segoe UI"/>
          <w:color w:val="000000"/>
        </w:rPr>
        <w:t> </w:t>
      </w:r>
    </w:p>
    <w:p w14:paraId="0F913248" w14:textId="0133C8B4" w:rsidR="00C02627" w:rsidRPr="003C4A09" w:rsidRDefault="00C02627" w:rsidP="00C02627">
      <w:pPr>
        <w:rPr>
          <w:rFonts w:ascii="Segoe UI" w:hAnsi="Segoe UI"/>
          <w:sz w:val="16"/>
          <w:szCs w:val="16"/>
        </w:rPr>
      </w:pPr>
      <w:r>
        <w:rPr>
          <w:rStyle w:val="normaltextrun"/>
          <w:rFonts w:cs="Segoe UI"/>
          <w:color w:val="000000"/>
          <w:lang w:val="nl-NL"/>
        </w:rPr>
        <w:t xml:space="preserve">De </w:t>
      </w:r>
      <w:r w:rsidRPr="003C4A09">
        <w:rPr>
          <w:rStyle w:val="normaltextrun"/>
          <w:rFonts w:cs="Segoe UI"/>
          <w:color w:val="000000"/>
          <w:lang w:val="nl-NL"/>
        </w:rPr>
        <w:t>technische specificaties kunnen</w:t>
      </w:r>
      <w:r>
        <w:rPr>
          <w:rStyle w:val="normaltextrun"/>
          <w:rFonts w:cs="Segoe UI"/>
          <w:color w:val="000000"/>
          <w:lang w:val="nl-NL"/>
        </w:rPr>
        <w:t xml:space="preserve"> eveneens</w:t>
      </w:r>
      <w:r w:rsidRPr="003C4A09">
        <w:rPr>
          <w:rStyle w:val="normaltextrun"/>
          <w:rFonts w:cs="Segoe UI"/>
          <w:color w:val="000000"/>
          <w:lang w:val="nl-NL"/>
        </w:rPr>
        <w:t xml:space="preserve"> verwijzen naar normen. Het is verboden om een bepaald fabricaat of </w:t>
      </w:r>
      <w:r>
        <w:rPr>
          <w:rStyle w:val="normaltextrun"/>
          <w:rFonts w:cs="Segoe UI"/>
          <w:color w:val="000000"/>
          <w:lang w:val="nl-NL"/>
        </w:rPr>
        <w:t xml:space="preserve">een </w:t>
      </w:r>
      <w:r w:rsidRPr="003C4A09">
        <w:rPr>
          <w:rStyle w:val="normaltextrun"/>
          <w:rFonts w:cs="Segoe UI"/>
          <w:color w:val="000000"/>
          <w:lang w:val="nl-NL"/>
        </w:rPr>
        <w:t>bepaalde herkomst te vermelden</w:t>
      </w:r>
      <w:r w:rsidR="00251781">
        <w:rPr>
          <w:rStyle w:val="normaltextrun"/>
          <w:rFonts w:cs="Segoe UI"/>
          <w:color w:val="000000"/>
          <w:lang w:val="nl-NL"/>
        </w:rPr>
        <w:t>, tenzij in uitzonderlijke gevallen – zie punt 4.2</w:t>
      </w:r>
      <w:r w:rsidRPr="00994FFB">
        <w:rPr>
          <w:rStyle w:val="normaltextrun"/>
          <w:rFonts w:cs="Segoe UI"/>
          <w:lang w:val="nl-NL"/>
        </w:rPr>
        <w:t xml:space="preserve">. In </w:t>
      </w:r>
      <w:r w:rsidRPr="003C4A09">
        <w:rPr>
          <w:rStyle w:val="normaltextrun"/>
          <w:rFonts w:cs="Segoe UI"/>
          <w:color w:val="000000"/>
          <w:lang w:val="nl-NL"/>
        </w:rPr>
        <w:t xml:space="preserve">geval van </w:t>
      </w:r>
      <w:r w:rsidR="003B6F43">
        <w:rPr>
          <w:rStyle w:val="normaltextrun"/>
          <w:rFonts w:cs="Segoe UI"/>
          <w:color w:val="000000"/>
          <w:lang w:val="nl-NL"/>
        </w:rPr>
        <w:t>het foutief</w:t>
      </w:r>
      <w:r w:rsidRPr="003C4A09">
        <w:rPr>
          <w:rStyle w:val="normaltextrun"/>
          <w:rFonts w:cs="Segoe UI"/>
          <w:color w:val="000000"/>
          <w:lang w:val="nl-NL"/>
        </w:rPr>
        <w:t xml:space="preserve"> </w:t>
      </w:r>
      <w:r w:rsidR="0004237D">
        <w:rPr>
          <w:rStyle w:val="normaltextrun"/>
          <w:rFonts w:cs="Segoe UI"/>
          <w:color w:val="000000"/>
          <w:lang w:val="nl-NL"/>
        </w:rPr>
        <w:t xml:space="preserve">toepassen </w:t>
      </w:r>
      <w:r w:rsidRPr="003C4A09">
        <w:rPr>
          <w:rStyle w:val="normaltextrun"/>
          <w:rFonts w:cs="Segoe UI"/>
          <w:color w:val="000000"/>
          <w:lang w:val="nl-NL"/>
        </w:rPr>
        <w:t xml:space="preserve">van dat </w:t>
      </w:r>
      <w:r w:rsidR="002810EB">
        <w:rPr>
          <w:rStyle w:val="normaltextrun"/>
          <w:rFonts w:cs="Segoe UI"/>
          <w:color w:val="000000"/>
          <w:lang w:val="nl-NL"/>
        </w:rPr>
        <w:t>quasi-</w:t>
      </w:r>
      <w:r w:rsidRPr="003C4A09">
        <w:rPr>
          <w:rStyle w:val="normaltextrun"/>
          <w:rFonts w:cs="Segoe UI"/>
          <w:color w:val="000000"/>
          <w:lang w:val="nl-NL"/>
        </w:rPr>
        <w:t>verbod, staat het de inschrijver vrij een gelijkwaardig product of dienst aan te bieden. </w:t>
      </w:r>
      <w:r w:rsidRPr="003C4A09">
        <w:rPr>
          <w:rStyle w:val="eop"/>
          <w:rFonts w:cs="Segoe UI"/>
          <w:color w:val="000000"/>
        </w:rPr>
        <w:t> </w:t>
      </w:r>
    </w:p>
    <w:p w14:paraId="28D51BA3" w14:textId="214CC36B" w:rsidR="00C02627" w:rsidRPr="003C4A09" w:rsidRDefault="00C02627" w:rsidP="00C02627">
      <w:pPr>
        <w:rPr>
          <w:rFonts w:ascii="Segoe UI" w:hAnsi="Segoe UI"/>
          <w:sz w:val="16"/>
          <w:szCs w:val="16"/>
        </w:rPr>
      </w:pPr>
      <w:r w:rsidRPr="003C4A09">
        <w:rPr>
          <w:rStyle w:val="normaltextrun"/>
          <w:rFonts w:cs="Segoe UI"/>
          <w:color w:val="000000"/>
          <w:lang w:val="nl-NL"/>
        </w:rPr>
        <w:t>In de regelgeving wordt de werkwijze om de technische specificaties te formuleren aan de hand van functionele en prestatie-eisen, als eerste werkwijze geformuleerd. </w:t>
      </w:r>
      <w:r w:rsidRPr="00C74A2E">
        <w:rPr>
          <w:rStyle w:val="normaltextrun"/>
          <w:rFonts w:cs="Segoe UI"/>
          <w:b/>
          <w:bCs/>
          <w:color w:val="000000"/>
          <w:lang w:val="nl-NL"/>
        </w:rPr>
        <w:t>Een open, functionele en prestatiegerichte omschrijving van de vraagspecificatie</w:t>
      </w:r>
      <w:r>
        <w:rPr>
          <w:rStyle w:val="normaltextrun"/>
          <w:rFonts w:cs="Segoe UI"/>
          <w:b/>
          <w:bCs/>
          <w:color w:val="000000"/>
          <w:lang w:val="nl-NL"/>
        </w:rPr>
        <w:t>(s)</w:t>
      </w:r>
      <w:r w:rsidRPr="00C74A2E">
        <w:rPr>
          <w:rStyle w:val="normaltextrun"/>
          <w:rFonts w:cs="Segoe UI"/>
          <w:b/>
          <w:bCs/>
          <w:color w:val="000000"/>
          <w:lang w:val="nl-NL"/>
        </w:rPr>
        <w:t xml:space="preserve"> biedt immers de meeste kansen op een brede mededinging en laat de ondernemingen toe hun eigen (vernieuwende) producten, diensten of technische oplossingen aan te bieden</w:t>
      </w:r>
      <w:r w:rsidRPr="003C4A09">
        <w:rPr>
          <w:rStyle w:val="normaltextrun"/>
          <w:rFonts w:cs="Segoe UI"/>
          <w:color w:val="000000"/>
          <w:lang w:val="nl-NL"/>
        </w:rPr>
        <w:t>, en dat in tegenstelling tot wanneer een gedetailleerde beschrijving wordt gegeven</w:t>
      </w:r>
      <w:r>
        <w:rPr>
          <w:rStyle w:val="normaltextrun"/>
          <w:rFonts w:cs="Segoe UI"/>
          <w:color w:val="000000"/>
          <w:lang w:val="nl-NL"/>
        </w:rPr>
        <w:t xml:space="preserve"> door de aanbesteder</w:t>
      </w:r>
      <w:r w:rsidRPr="003C4A09">
        <w:rPr>
          <w:rStyle w:val="normaltextrun"/>
          <w:rFonts w:cs="Segoe UI"/>
          <w:color w:val="000000"/>
          <w:lang w:val="nl-NL"/>
        </w:rPr>
        <w:t xml:space="preserve"> aan de hand van technische eisen. </w:t>
      </w:r>
      <w:r w:rsidRPr="003C4A09">
        <w:rPr>
          <w:rStyle w:val="eop"/>
          <w:rFonts w:cs="Segoe UI"/>
          <w:color w:val="000000"/>
        </w:rPr>
        <w:t> </w:t>
      </w:r>
    </w:p>
    <w:p w14:paraId="06262E23" w14:textId="3AE6A8DF" w:rsidR="00C02627" w:rsidRPr="003C4A09" w:rsidRDefault="00C02627" w:rsidP="00C02627">
      <w:pPr>
        <w:rPr>
          <w:rFonts w:ascii="Segoe UI" w:hAnsi="Segoe UI"/>
          <w:sz w:val="16"/>
          <w:szCs w:val="16"/>
        </w:rPr>
      </w:pPr>
      <w:r w:rsidRPr="003C4A09">
        <w:rPr>
          <w:rStyle w:val="normaltextrun"/>
          <w:rFonts w:cs="Segoe UI"/>
          <w:color w:val="000000"/>
          <w:lang w:val="nl-NL"/>
        </w:rPr>
        <w:t xml:space="preserve">Het is aangewezen om </w:t>
      </w:r>
      <w:r>
        <w:rPr>
          <w:rStyle w:val="normaltextrun"/>
          <w:rFonts w:cs="Segoe UI"/>
          <w:color w:val="000000"/>
          <w:lang w:val="nl-NL"/>
        </w:rPr>
        <w:t>ook</w:t>
      </w:r>
      <w:r w:rsidRPr="003C4A09">
        <w:rPr>
          <w:rStyle w:val="normaltextrun"/>
          <w:rFonts w:cs="Segoe UI"/>
          <w:color w:val="000000"/>
          <w:lang w:val="nl-NL"/>
        </w:rPr>
        <w:t xml:space="preserve"> de aandacht te vestigen op het </w:t>
      </w:r>
      <w:r w:rsidRPr="001438E6">
        <w:rPr>
          <w:rStyle w:val="normaltextrun"/>
          <w:rFonts w:cs="Segoe UI"/>
          <w:b/>
          <w:bCs/>
          <w:color w:val="000000"/>
          <w:lang w:val="nl-NL"/>
        </w:rPr>
        <w:t>gebruik van keurmerken</w:t>
      </w:r>
      <w:r w:rsidRPr="003C4A09">
        <w:rPr>
          <w:rStyle w:val="normaltextrun"/>
          <w:rFonts w:cs="Segoe UI"/>
          <w:color w:val="000000"/>
          <w:lang w:val="nl-NL"/>
        </w:rPr>
        <w:t xml:space="preserve"> als nuttig instrument om de eisen van een werk, levering of dienst te specificeren. Zo kan een keurmerk worden geëist als bewijs dat de werken, diensten of leveringen overeenstemmen met de vereiste voorschriften. </w:t>
      </w:r>
      <w:r w:rsidR="002D4117">
        <w:rPr>
          <w:rStyle w:val="normaltextrun"/>
          <w:rFonts w:cs="Segoe UI"/>
          <w:color w:val="000000"/>
          <w:lang w:val="nl-NL"/>
        </w:rPr>
        <w:t>A</w:t>
      </w:r>
      <w:r w:rsidRPr="003C4A09">
        <w:rPr>
          <w:rStyle w:val="normaltextrun"/>
          <w:rFonts w:cs="Segoe UI"/>
          <w:color w:val="000000"/>
          <w:lang w:val="nl-NL"/>
        </w:rPr>
        <w:t>rtikel 54 van de wet van legt de voorwaarden vast waaraan het keurmerk en de keurmerkeisen moeten voldoen.</w:t>
      </w:r>
      <w:r w:rsidRPr="003C4A09">
        <w:rPr>
          <w:rStyle w:val="eop"/>
          <w:rFonts w:cs="Segoe UI"/>
          <w:color w:val="000000"/>
        </w:rPr>
        <w:t> </w:t>
      </w:r>
    </w:p>
    <w:p w14:paraId="70A60F45" w14:textId="77777777" w:rsidR="00C02627" w:rsidRPr="003C4A09" w:rsidRDefault="00C02627" w:rsidP="00C02627">
      <w:pPr>
        <w:rPr>
          <w:rFonts w:ascii="Segoe UI" w:hAnsi="Segoe UI"/>
          <w:sz w:val="16"/>
          <w:szCs w:val="16"/>
        </w:rPr>
      </w:pPr>
      <w:r w:rsidRPr="003C4A09">
        <w:rPr>
          <w:rStyle w:val="normaltextrun"/>
          <w:rFonts w:cs="Segoe UI"/>
          <w:color w:val="000000"/>
          <w:lang w:val="nl-NL"/>
        </w:rPr>
        <w:t xml:space="preserve">Het is interessant </w:t>
      </w:r>
      <w:r>
        <w:rPr>
          <w:rStyle w:val="normaltextrun"/>
          <w:rFonts w:cs="Segoe UI"/>
          <w:color w:val="000000"/>
          <w:lang w:val="nl-NL"/>
        </w:rPr>
        <w:t xml:space="preserve">om </w:t>
      </w:r>
      <w:r w:rsidRPr="003C4A09">
        <w:rPr>
          <w:rStyle w:val="normaltextrun"/>
          <w:rFonts w:cs="Segoe UI"/>
          <w:color w:val="000000"/>
          <w:lang w:val="nl-NL"/>
        </w:rPr>
        <w:t xml:space="preserve">aan te stippen dat de mogelijkheid tot gebruik van </w:t>
      </w:r>
      <w:r w:rsidRPr="00B12D90">
        <w:rPr>
          <w:rStyle w:val="normaltextrun"/>
          <w:rFonts w:cs="Segoe UI"/>
          <w:lang w:val="nl-NL"/>
        </w:rPr>
        <w:t>keurmerken sinds de wet van 17 juni 2016 uitgebreid werd naa</w:t>
      </w:r>
      <w:r w:rsidRPr="003C4A09">
        <w:rPr>
          <w:rStyle w:val="normaltextrun"/>
          <w:rFonts w:cs="Segoe UI"/>
          <w:color w:val="000000"/>
          <w:lang w:val="nl-NL"/>
        </w:rPr>
        <w:t xml:space="preserve">r de werken en er </w:t>
      </w:r>
      <w:r w:rsidRPr="00841E01">
        <w:rPr>
          <w:rStyle w:val="normaltextrun"/>
          <w:rFonts w:cs="Segoe UI"/>
          <w:lang w:val="nl-NL"/>
        </w:rPr>
        <w:t xml:space="preserve">sindsdien </w:t>
      </w:r>
      <w:r w:rsidRPr="003C4A09">
        <w:rPr>
          <w:rStyle w:val="normaltextrun"/>
          <w:rFonts w:cs="Segoe UI"/>
          <w:color w:val="000000"/>
          <w:lang w:val="nl-NL"/>
        </w:rPr>
        <w:t>naast de milieukeurmerken ook sociale en andere keurmerken kunnen worden gebruikt. Die keurmerken kunnen bovendien worden aangewend in de contractvoorwaarden voor de uitvoering van de opdracht en zelfs in het kader van de gunningscriteria.</w:t>
      </w:r>
      <w:r w:rsidRPr="003C4A09">
        <w:rPr>
          <w:rStyle w:val="eop"/>
          <w:rFonts w:cs="Segoe UI"/>
          <w:color w:val="000000"/>
        </w:rPr>
        <w:t> </w:t>
      </w:r>
    </w:p>
    <w:p w14:paraId="26DF3715" w14:textId="3EF7D7D2" w:rsidR="00C02627" w:rsidRPr="003C4A09" w:rsidRDefault="00C02627" w:rsidP="00C02627">
      <w:pPr>
        <w:rPr>
          <w:rFonts w:ascii="Segoe UI" w:hAnsi="Segoe UI"/>
          <w:sz w:val="16"/>
          <w:szCs w:val="16"/>
        </w:rPr>
      </w:pPr>
      <w:r w:rsidRPr="003C4A09">
        <w:rPr>
          <w:rStyle w:val="normaltextrun"/>
          <w:rFonts w:cs="Segoe UI"/>
          <w:color w:val="000000"/>
          <w:lang w:val="nl-NL"/>
        </w:rPr>
        <w:t xml:space="preserve">De gestelde keurmerkeisen moeten uiteraard verband houden met het voorwerp van de opdracht en </w:t>
      </w:r>
      <w:r w:rsidR="00EE3DD1">
        <w:rPr>
          <w:rStyle w:val="normaltextrun"/>
          <w:rFonts w:cs="Segoe UI"/>
          <w:color w:val="000000"/>
          <w:lang w:val="nl-NL"/>
        </w:rPr>
        <w:t>er</w:t>
      </w:r>
      <w:r w:rsidR="00EE3DD1" w:rsidRPr="003C4A09">
        <w:rPr>
          <w:rStyle w:val="normaltextrun"/>
          <w:rFonts w:cs="Segoe UI"/>
          <w:color w:val="000000"/>
          <w:lang w:val="nl-NL"/>
        </w:rPr>
        <w:t xml:space="preserve"> </w:t>
      </w:r>
      <w:r w:rsidRPr="00123A38">
        <w:rPr>
          <w:rStyle w:val="normaltextrun"/>
          <w:rFonts w:cs="Segoe UI"/>
          <w:lang w:val="nl-NL"/>
        </w:rPr>
        <w:t xml:space="preserve">werd </w:t>
      </w:r>
      <w:r w:rsidRPr="003C4A09">
        <w:rPr>
          <w:rStyle w:val="normaltextrun"/>
          <w:rFonts w:cs="Segoe UI"/>
          <w:color w:val="000000"/>
          <w:lang w:val="nl-NL"/>
        </w:rPr>
        <w:t xml:space="preserve">bepaald dat de </w:t>
      </w:r>
      <w:r>
        <w:rPr>
          <w:rStyle w:val="normaltextrun"/>
          <w:rFonts w:cs="Segoe UI"/>
          <w:color w:val="000000"/>
          <w:lang w:val="nl-NL"/>
        </w:rPr>
        <w:t>aanbesteder</w:t>
      </w:r>
      <w:r w:rsidRPr="003C4A09">
        <w:rPr>
          <w:rStyle w:val="normaltextrun"/>
          <w:rFonts w:cs="Segoe UI"/>
          <w:color w:val="000000"/>
          <w:lang w:val="nl-NL"/>
        </w:rPr>
        <w:t xml:space="preserve"> die een keurmerk eist, </w:t>
      </w:r>
      <w:r w:rsidRPr="00DB0BBF">
        <w:rPr>
          <w:rStyle w:val="normaltextrun"/>
          <w:rFonts w:cs="Segoe UI"/>
          <w:b/>
          <w:bCs/>
          <w:color w:val="000000"/>
          <w:lang w:val="nl-NL"/>
        </w:rPr>
        <w:t>alle keurmerken moet aanvaarden die bevestigen dat de betreffende werken, leveringen of diensten aan gelijkwaardige keurmerkeisen voldoen</w:t>
      </w:r>
      <w:r w:rsidRPr="003C4A09">
        <w:rPr>
          <w:rStyle w:val="normaltextrun"/>
          <w:rFonts w:cs="Segoe UI"/>
          <w:color w:val="000000"/>
          <w:lang w:val="nl-NL"/>
        </w:rPr>
        <w:t xml:space="preserve">. Indien een ondernemer aantoont dat hij niet de mogelijkheid had om de betreffende keurmerken tijdig te verwerven, moet de </w:t>
      </w:r>
      <w:r w:rsidR="0024120C">
        <w:rPr>
          <w:rStyle w:val="normaltextrun"/>
          <w:rFonts w:cs="Segoe UI"/>
          <w:color w:val="000000"/>
          <w:lang w:val="nl-NL"/>
        </w:rPr>
        <w:t>aanbesteder</w:t>
      </w:r>
      <w:r w:rsidRPr="003C4A09">
        <w:rPr>
          <w:rStyle w:val="normaltextrun"/>
          <w:rFonts w:cs="Segoe UI"/>
          <w:color w:val="000000"/>
          <w:lang w:val="nl-NL"/>
        </w:rPr>
        <w:t xml:space="preserve"> ook andere geschikte bewijsmiddelen aanvaarden. Het moet gaan om redenen die de ondernemer niet aangerekend kunnen worden. </w:t>
      </w:r>
      <w:r w:rsidRPr="003C4A09">
        <w:rPr>
          <w:rStyle w:val="eop"/>
          <w:rFonts w:cs="Segoe UI"/>
          <w:color w:val="000000"/>
        </w:rPr>
        <w:t> </w:t>
      </w:r>
    </w:p>
    <w:p w14:paraId="29BF7E1A" w14:textId="08000FC0" w:rsidR="00C02627" w:rsidRPr="003C4A09" w:rsidRDefault="00C02627" w:rsidP="00C02627">
      <w:pPr>
        <w:rPr>
          <w:rStyle w:val="eop"/>
          <w:rFonts w:cs="Segoe UI"/>
          <w:color w:val="000000"/>
        </w:rPr>
      </w:pPr>
      <w:r w:rsidRPr="003C4A09">
        <w:rPr>
          <w:rStyle w:val="normaltextrun"/>
          <w:rFonts w:cs="Segoe UI"/>
          <w:color w:val="000000"/>
          <w:lang w:val="nl-NL"/>
        </w:rPr>
        <w:t>Aanbestedende overheden moeten er over waken dat</w:t>
      </w:r>
      <w:r>
        <w:rPr>
          <w:rStyle w:val="normaltextrun"/>
          <w:rFonts w:cs="Segoe UI"/>
          <w:color w:val="000000"/>
          <w:lang w:val="nl-NL"/>
        </w:rPr>
        <w:t xml:space="preserve"> </w:t>
      </w:r>
      <w:r w:rsidRPr="00295AE0">
        <w:rPr>
          <w:rStyle w:val="normaltextrun"/>
          <w:rFonts w:cs="Segoe UI"/>
          <w:b/>
          <w:bCs/>
          <w:color w:val="0070C0"/>
          <w:lang w:val="nl-NL"/>
        </w:rPr>
        <w:t>de gevraagde keurmerken steeds proportioneel zijn</w:t>
      </w:r>
      <w:r w:rsidRPr="003C4A09">
        <w:rPr>
          <w:rStyle w:val="normaltextrun"/>
          <w:rFonts w:cs="Segoe UI"/>
          <w:color w:val="000000"/>
          <w:lang w:val="nl-NL"/>
        </w:rPr>
        <w:t xml:space="preserve"> met het voorwerp van de opdracht, en dat om </w:t>
      </w:r>
      <w:r w:rsidR="004F78EC" w:rsidRPr="003C4A09">
        <w:rPr>
          <w:rStyle w:val="normaltextrun"/>
          <w:rFonts w:cs="Segoe UI"/>
          <w:color w:val="000000"/>
          <w:lang w:val="nl-NL"/>
        </w:rPr>
        <w:t xml:space="preserve">onder meer </w:t>
      </w:r>
      <w:r w:rsidRPr="003C4A09">
        <w:rPr>
          <w:rStyle w:val="normaltextrun"/>
          <w:rFonts w:cs="Segoe UI"/>
          <w:color w:val="000000"/>
          <w:lang w:val="nl-NL"/>
        </w:rPr>
        <w:t>de toegang van kmo’s tot de opdracht geenszins te belemmeren. Om die reden werd voorzien in een versoepeling voor de opdrachten die de drempel voor de Europese bekendmaking niet bereiken. Aldaar beschikt de ondernemer steeds over de mogelijkheid om andere geschikte bewijsmiddelen aan te reiken die bevestigen dat aan de specifieke eisen of aan het specifieke keurmerk is voldaan.</w:t>
      </w:r>
      <w:r w:rsidRPr="003C4A09">
        <w:rPr>
          <w:rStyle w:val="eop"/>
          <w:rFonts w:cs="Segoe UI"/>
          <w:color w:val="000000"/>
        </w:rPr>
        <w:t> </w:t>
      </w:r>
    </w:p>
    <w:p w14:paraId="1606B1C6" w14:textId="60C0FEB6" w:rsidR="00C02627" w:rsidRDefault="00C02627" w:rsidP="00C02627">
      <w:pPr>
        <w:rPr>
          <w:rStyle w:val="eop"/>
          <w:rFonts w:cs="Segoe UI"/>
          <w:color w:val="000000"/>
        </w:rPr>
      </w:pPr>
      <w:r>
        <w:rPr>
          <w:rStyle w:val="eop"/>
          <w:rFonts w:cs="Segoe UI"/>
          <w:color w:val="000000"/>
        </w:rPr>
        <w:lastRenderedPageBreak/>
        <w:t xml:space="preserve">In het kader van dit principe is het interessant om de aandacht te vestigen </w:t>
      </w:r>
      <w:r w:rsidRPr="00F10C22">
        <w:rPr>
          <w:rStyle w:val="eop"/>
          <w:rFonts w:cs="Segoe UI"/>
          <w:b/>
          <w:bCs/>
          <w:color w:val="000000"/>
        </w:rPr>
        <w:t>op een nieuwe, toekomstige functionaliteit van het vernieuwde e-Procurement</w:t>
      </w:r>
      <w:r>
        <w:rPr>
          <w:rStyle w:val="eop"/>
          <w:rFonts w:cs="Segoe UI"/>
          <w:color w:val="000000"/>
        </w:rPr>
        <w:t xml:space="preserve">. </w:t>
      </w:r>
      <w:r w:rsidRPr="002B0423">
        <w:rPr>
          <w:rStyle w:val="eop"/>
          <w:rFonts w:cs="Segoe UI"/>
          <w:color w:val="000000"/>
        </w:rPr>
        <w:t xml:space="preserve">Via </w:t>
      </w:r>
      <w:r>
        <w:rPr>
          <w:rStyle w:val="eop"/>
          <w:rFonts w:cs="Segoe UI"/>
          <w:color w:val="000000"/>
        </w:rPr>
        <w:t>het</w:t>
      </w:r>
      <w:r w:rsidRPr="002B0423">
        <w:rPr>
          <w:rStyle w:val="eop"/>
          <w:rFonts w:cs="Segoe UI"/>
          <w:color w:val="000000"/>
        </w:rPr>
        <w:t xml:space="preserve"> </w:t>
      </w:r>
      <w:r>
        <w:rPr>
          <w:rStyle w:val="eop"/>
          <w:rFonts w:cs="Segoe UI"/>
          <w:color w:val="000000"/>
        </w:rPr>
        <w:t>ver</w:t>
      </w:r>
      <w:r w:rsidRPr="002B0423">
        <w:rPr>
          <w:rStyle w:val="eop"/>
          <w:rFonts w:cs="Segoe UI"/>
          <w:color w:val="000000"/>
        </w:rPr>
        <w:t>nieuw</w:t>
      </w:r>
      <w:r>
        <w:rPr>
          <w:rStyle w:val="eop"/>
          <w:rFonts w:cs="Segoe UI"/>
          <w:color w:val="000000"/>
        </w:rPr>
        <w:t>de</w:t>
      </w:r>
      <w:r w:rsidRPr="002B0423">
        <w:rPr>
          <w:rStyle w:val="eop"/>
          <w:rFonts w:cs="Segoe UI"/>
          <w:color w:val="000000"/>
        </w:rPr>
        <w:t xml:space="preserve"> </w:t>
      </w:r>
      <w:r w:rsidR="00027063">
        <w:rPr>
          <w:rStyle w:val="eop"/>
          <w:rFonts w:cs="Segoe UI"/>
          <w:color w:val="000000"/>
        </w:rPr>
        <w:t>platform</w:t>
      </w:r>
      <w:r w:rsidRPr="002B0423">
        <w:rPr>
          <w:rStyle w:val="eop"/>
          <w:rFonts w:cs="Segoe UI"/>
          <w:color w:val="000000"/>
        </w:rPr>
        <w:t xml:space="preserve"> </w:t>
      </w:r>
      <w:r>
        <w:rPr>
          <w:rStyle w:val="eop"/>
          <w:rFonts w:cs="Segoe UI"/>
          <w:color w:val="000000"/>
        </w:rPr>
        <w:t>zal</w:t>
      </w:r>
      <w:r w:rsidRPr="002B0423">
        <w:rPr>
          <w:rStyle w:val="eop"/>
          <w:rFonts w:cs="Segoe UI"/>
          <w:color w:val="000000"/>
        </w:rPr>
        <w:t xml:space="preserve"> de aanbesteder in de toekomst de optie krijgen om aan een geïnteresseerde inschrijver (onderneming) te vragen waarom die zich toch niet heeft ingeschreven voor een bepaalde overheidsopdracht. Een geïnteresseerde inschrijver is een onderneming die bijvoorbeeld begonnen is aan de inschrijving voor een opdracht, maar d</w:t>
      </w:r>
      <w:r>
        <w:rPr>
          <w:rStyle w:val="eop"/>
          <w:rFonts w:cs="Segoe UI"/>
          <w:color w:val="000000"/>
        </w:rPr>
        <w:t>ie</w:t>
      </w:r>
      <w:r w:rsidRPr="002B0423">
        <w:rPr>
          <w:rStyle w:val="eop"/>
          <w:rFonts w:cs="Segoe UI"/>
          <w:color w:val="000000"/>
        </w:rPr>
        <w:t xml:space="preserve"> niet heeft afgewerkt, of die een opdracht als “favoriet” heeft opgeslagen, maar nooit heeft geparticipeerd.</w:t>
      </w:r>
    </w:p>
    <w:p w14:paraId="0D6C5042" w14:textId="14CF081E" w:rsidR="00C02627" w:rsidRDefault="00892608" w:rsidP="00C02627">
      <w:pPr>
        <w:rPr>
          <w:rStyle w:val="normaltextrun"/>
          <w:color w:val="000000"/>
          <w:lang w:val="nl-NL"/>
        </w:rPr>
      </w:pPr>
      <w:r>
        <w:rPr>
          <w:rStyle w:val="eop"/>
          <w:rFonts w:cs="Segoe UI"/>
          <w:b/>
          <w:bCs/>
          <w:color w:val="000000"/>
        </w:rPr>
        <w:t>Samengevat</w:t>
      </w:r>
      <w:r w:rsidR="00C02627" w:rsidRPr="0079712B">
        <w:rPr>
          <w:rStyle w:val="eop"/>
          <w:rFonts w:cs="Segoe UI"/>
          <w:b/>
          <w:bCs/>
          <w:color w:val="000000"/>
        </w:rPr>
        <w:t>: een aanbesteder zal binnenkort de redenen van niet-participatie via e-Procurement kunnen bevragen</w:t>
      </w:r>
      <w:r w:rsidR="00C02627" w:rsidRPr="00CA1E87">
        <w:rPr>
          <w:rStyle w:val="eop"/>
          <w:rFonts w:cs="Segoe UI"/>
          <w:b/>
          <w:bCs/>
          <w:color w:val="000000"/>
        </w:rPr>
        <w:t>.</w:t>
      </w:r>
      <w:r w:rsidR="00C02627">
        <w:rPr>
          <w:rStyle w:val="eop"/>
          <w:rFonts w:cs="Segoe UI"/>
          <w:color w:val="000000"/>
        </w:rPr>
        <w:t xml:space="preserve"> </w:t>
      </w:r>
      <w:r w:rsidR="00C02627" w:rsidRPr="003C4A09">
        <w:rPr>
          <w:rStyle w:val="normaltextrun"/>
          <w:color w:val="000000"/>
          <w:lang w:val="nl-NL"/>
        </w:rPr>
        <w:t xml:space="preserve">Of de proportionaliteit van de </w:t>
      </w:r>
      <w:r w:rsidR="00C02627">
        <w:rPr>
          <w:rStyle w:val="normaltextrun"/>
          <w:color w:val="000000"/>
          <w:lang w:val="nl-NL"/>
        </w:rPr>
        <w:t xml:space="preserve">technische </w:t>
      </w:r>
      <w:r w:rsidR="00C02627" w:rsidRPr="003C4A09">
        <w:rPr>
          <w:rStyle w:val="normaltextrun"/>
          <w:color w:val="000000"/>
          <w:lang w:val="nl-NL"/>
        </w:rPr>
        <w:t xml:space="preserve">minimumeisen een rol heeft gespeeld in de beslissing om niet te participeren, zal een onderdeel </w:t>
      </w:r>
      <w:r w:rsidR="00D34254">
        <w:rPr>
          <w:rStyle w:val="normaltextrun"/>
          <w:color w:val="000000"/>
          <w:lang w:val="nl-NL"/>
        </w:rPr>
        <w:t>(</w:t>
      </w:r>
      <w:r w:rsidR="004D638F">
        <w:rPr>
          <w:rStyle w:val="normaltextrun"/>
          <w:color w:val="000000"/>
          <w:lang w:val="nl-NL"/>
        </w:rPr>
        <w:t>kunnen</w:t>
      </w:r>
      <w:r w:rsidR="00D34254">
        <w:rPr>
          <w:rStyle w:val="normaltextrun"/>
          <w:color w:val="000000"/>
          <w:lang w:val="nl-NL"/>
        </w:rPr>
        <w:t>)</w:t>
      </w:r>
      <w:r w:rsidR="004D638F">
        <w:rPr>
          <w:rStyle w:val="normaltextrun"/>
          <w:color w:val="000000"/>
          <w:lang w:val="nl-NL"/>
        </w:rPr>
        <w:t xml:space="preserve"> </w:t>
      </w:r>
      <w:r w:rsidR="00C02627" w:rsidRPr="003C4A09">
        <w:rPr>
          <w:rStyle w:val="normaltextrun"/>
          <w:color w:val="000000"/>
          <w:lang w:val="nl-NL"/>
        </w:rPr>
        <w:t xml:space="preserve">vormen van deze bevraging. </w:t>
      </w:r>
    </w:p>
    <w:p w14:paraId="0F4FBF5C" w14:textId="7B2A63BC" w:rsidR="00C02627" w:rsidRDefault="00C02627" w:rsidP="00C02627">
      <w:pPr>
        <w:rPr>
          <w:rStyle w:val="normaltextrun"/>
          <w:color w:val="000000"/>
          <w:lang w:val="nl-NL"/>
        </w:rPr>
      </w:pPr>
      <w:r w:rsidRPr="00643B6F">
        <w:rPr>
          <w:rStyle w:val="normaltextrun"/>
          <w:b/>
          <w:bCs/>
          <w:color w:val="0070C0"/>
          <w:lang w:val="nl-NL"/>
        </w:rPr>
        <w:t>In het geval dat de aanbesteder geen enkele of maar één offerte heeft ontvangen voor een overheidsopdracht, is de aanbesteder</w:t>
      </w:r>
      <w:r w:rsidR="00A4054E" w:rsidRPr="00643B6F">
        <w:rPr>
          <w:rStyle w:val="normaltextrun"/>
          <w:b/>
          <w:bCs/>
          <w:color w:val="0070C0"/>
          <w:lang w:val="nl-NL"/>
        </w:rPr>
        <w:t xml:space="preserve"> voortaan</w:t>
      </w:r>
      <w:r w:rsidRPr="00643B6F">
        <w:rPr>
          <w:rStyle w:val="normaltextrun"/>
          <w:b/>
          <w:bCs/>
          <w:color w:val="0070C0"/>
          <w:lang w:val="nl-NL"/>
        </w:rPr>
        <w:t xml:space="preserve"> verplicht om gebruik te maken van die toepassing</w:t>
      </w:r>
      <w:r w:rsidRPr="00643B6F">
        <w:rPr>
          <w:rStyle w:val="normaltextrun"/>
          <w:color w:val="0070C0"/>
          <w:lang w:val="nl-NL"/>
        </w:rPr>
        <w:t xml:space="preserve"> </w:t>
      </w:r>
      <w:r>
        <w:rPr>
          <w:rStyle w:val="normaltextrun"/>
          <w:color w:val="000000"/>
          <w:lang w:val="nl-NL"/>
        </w:rPr>
        <w:t xml:space="preserve">in e-Procurement om de niet-deelname van andere uitgenodigde en/of geïnteresseerde ondernemingen te bevragen, onder meer inzake de proportionaliteit van de technische minimumeisen, en uitgezonderd </w:t>
      </w:r>
      <w:r w:rsidR="00EF347D">
        <w:rPr>
          <w:rStyle w:val="normaltextrun"/>
          <w:color w:val="000000"/>
          <w:lang w:val="nl-NL"/>
        </w:rPr>
        <w:t xml:space="preserve">in </w:t>
      </w:r>
      <w:r>
        <w:rPr>
          <w:rStyle w:val="normaltextrun"/>
          <w:color w:val="000000"/>
          <w:lang w:val="nl-NL"/>
        </w:rPr>
        <w:t xml:space="preserve">het specifieke geval waar maar één onderneming uitgenodigd werd om een offerte in te dienen en er omwille van die reden maar één offerte ontvangen werd. </w:t>
      </w:r>
    </w:p>
    <w:p w14:paraId="6E42118C" w14:textId="5F53B845" w:rsidR="00C02627" w:rsidRDefault="00C02627" w:rsidP="00C02627">
      <w:pPr>
        <w:rPr>
          <w:rStyle w:val="normaltextrun"/>
          <w:color w:val="000000"/>
          <w:lang w:val="nl-NL"/>
        </w:rPr>
      </w:pPr>
      <w:r w:rsidRPr="00C67DB3">
        <w:rPr>
          <w:rStyle w:val="normaltextrun"/>
          <w:b/>
          <w:bCs/>
          <w:color w:val="0070C0"/>
          <w:lang w:val="nl-NL"/>
        </w:rPr>
        <w:t>In alle andere gevallen</w:t>
      </w:r>
      <w:r w:rsidRPr="00C67DB3">
        <w:rPr>
          <w:rStyle w:val="normaltextrun"/>
          <w:color w:val="0070C0"/>
          <w:lang w:val="nl-NL"/>
        </w:rPr>
        <w:t xml:space="preserve"> </w:t>
      </w:r>
      <w:r>
        <w:rPr>
          <w:rStyle w:val="normaltextrun"/>
          <w:color w:val="000000"/>
          <w:lang w:val="nl-NL"/>
        </w:rPr>
        <w:t xml:space="preserve">is het gebruik van de nieuwe toepassing in e-Procurement sterk aanbevolen voor de aanbesteders en wordt dat beschouwd als </w:t>
      </w:r>
      <w:r w:rsidRPr="00C67DB3">
        <w:rPr>
          <w:rStyle w:val="normaltextrun"/>
          <w:b/>
          <w:bCs/>
          <w:color w:val="0070C0"/>
          <w:lang w:val="nl-NL"/>
        </w:rPr>
        <w:t>een best practice</w:t>
      </w:r>
      <w:r>
        <w:rPr>
          <w:rStyle w:val="normaltextrun"/>
          <w:color w:val="000000"/>
          <w:lang w:val="nl-NL"/>
        </w:rPr>
        <w:t>.</w:t>
      </w:r>
    </w:p>
    <w:p w14:paraId="01974867" w14:textId="7B728910" w:rsidR="00C02627" w:rsidRPr="00C02627" w:rsidRDefault="00C02627" w:rsidP="00437C23">
      <w:pPr>
        <w:rPr>
          <w:color w:val="000000"/>
          <w:lang w:val="nl-NL"/>
        </w:rPr>
      </w:pPr>
      <w:r>
        <w:rPr>
          <w:rStyle w:val="normaltextrun"/>
          <w:color w:val="000000"/>
          <w:lang w:val="nl-NL"/>
        </w:rPr>
        <w:t>Een opvolging van het gebruik van d</w:t>
      </w:r>
      <w:r w:rsidR="001C1F31">
        <w:rPr>
          <w:rStyle w:val="normaltextrun"/>
          <w:color w:val="000000"/>
          <w:lang w:val="nl-NL"/>
        </w:rPr>
        <w:t>i</w:t>
      </w:r>
      <w:r>
        <w:rPr>
          <w:rStyle w:val="normaltextrun"/>
          <w:color w:val="000000"/>
          <w:lang w:val="nl-NL"/>
        </w:rPr>
        <w:t xml:space="preserve">e nieuwe toepassing in e-Procurement wordt voorzien.  </w:t>
      </w:r>
    </w:p>
    <w:p w14:paraId="778188EE" w14:textId="77777777" w:rsidR="00437C23" w:rsidRPr="009069A3" w:rsidRDefault="00437C23">
      <w:pPr>
        <w:pStyle w:val="Kop2"/>
      </w:pPr>
      <w:bookmarkStart w:id="70" w:name="_Toc135839955"/>
      <w:bookmarkStart w:id="71" w:name="_Toc150870560"/>
      <w:r>
        <w:t>Richtlijnen en instructies</w:t>
      </w:r>
      <w:bookmarkEnd w:id="70"/>
      <w:bookmarkEnd w:id="71"/>
    </w:p>
    <w:p w14:paraId="145F8074" w14:textId="77777777" w:rsidR="008041CE" w:rsidRPr="003C4A09" w:rsidRDefault="008041CE">
      <w:pPr>
        <w:pStyle w:val="Lijstnummering"/>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pPr>
      <w:r w:rsidRPr="008041CE">
        <w:rPr>
          <w:rStyle w:val="normaltextrun"/>
          <w:rFonts w:cs="Segoe UI"/>
          <w:color w:val="000000"/>
          <w:szCs w:val="20"/>
          <w:lang w:val="nl-NL"/>
        </w:rPr>
        <w:t>De kenmerken van de technische specificaties moeten steeds met het voorwerp van de opdracht verbonden zijn, en in verhouding staan tot de waarde en de doelstellingen ervan. </w:t>
      </w:r>
      <w:r w:rsidRPr="008041CE">
        <w:rPr>
          <w:rStyle w:val="eop"/>
          <w:rFonts w:cs="Segoe UI"/>
          <w:color w:val="000000"/>
          <w:szCs w:val="20"/>
        </w:rPr>
        <w:t> </w:t>
      </w:r>
    </w:p>
    <w:p w14:paraId="2ECFA8E0" w14:textId="28A746C0" w:rsidR="008041CE" w:rsidRPr="003C4A09" w:rsidRDefault="008041CE">
      <w:pPr>
        <w:pStyle w:val="Lijstnummering"/>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pPr>
      <w:r w:rsidRPr="008041CE">
        <w:rPr>
          <w:rStyle w:val="normaltextrun"/>
          <w:rFonts w:cs="Segoe UI"/>
          <w:color w:val="000000"/>
          <w:szCs w:val="20"/>
          <w:lang w:val="nl-NL"/>
        </w:rPr>
        <w:t xml:space="preserve">Het formuleren van de technische specificaties aan de hand van functionele en prestatie-eisen moet door de aanbesteder systematisch als eerste mogelijke werkwijze overwogen worden om zo ondernemingen de </w:t>
      </w:r>
      <w:r w:rsidR="00BB184C">
        <w:rPr>
          <w:rStyle w:val="normaltextrun"/>
          <w:rFonts w:cs="Segoe UI"/>
          <w:color w:val="000000"/>
          <w:szCs w:val="20"/>
          <w:lang w:val="nl-NL"/>
        </w:rPr>
        <w:t>ruimte te laten</w:t>
      </w:r>
      <w:r w:rsidR="002F100F">
        <w:rPr>
          <w:rStyle w:val="normaltextrun"/>
          <w:rFonts w:cs="Segoe UI"/>
          <w:color w:val="000000"/>
          <w:szCs w:val="20"/>
          <w:lang w:val="nl-NL"/>
        </w:rPr>
        <w:t xml:space="preserve"> om</w:t>
      </w:r>
      <w:r w:rsidRPr="008041CE">
        <w:rPr>
          <w:rStyle w:val="normaltextrun"/>
          <w:rFonts w:cs="Segoe UI"/>
          <w:color w:val="000000"/>
          <w:szCs w:val="20"/>
          <w:lang w:val="nl-NL"/>
        </w:rPr>
        <w:t xml:space="preserve"> hun eigen producten, diensten of technische oplossingen aan te bieden.</w:t>
      </w:r>
      <w:r w:rsidRPr="008041CE">
        <w:rPr>
          <w:rStyle w:val="eop"/>
          <w:rFonts w:cs="Segoe UI"/>
          <w:color w:val="000000"/>
          <w:szCs w:val="20"/>
        </w:rPr>
        <w:t xml:space="preserve"> Enkel wanneer een dergelijke aanpak niet mogelijk blijkt, kunnen andere werkwijzen overwogen worden. </w:t>
      </w:r>
    </w:p>
    <w:p w14:paraId="6F8E5ED5" w14:textId="77777777" w:rsidR="008041CE" w:rsidRPr="003C4A09" w:rsidRDefault="008041CE">
      <w:pPr>
        <w:pStyle w:val="Lijstnummering"/>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pPr>
      <w:r w:rsidRPr="008041CE">
        <w:rPr>
          <w:rStyle w:val="normaltextrun"/>
          <w:rFonts w:cs="Segoe UI"/>
          <w:color w:val="000000"/>
          <w:szCs w:val="20"/>
          <w:lang w:val="nl-NL"/>
        </w:rPr>
        <w:t>De technische specificaties worden op zodanige open wijze beschreven dat ze de ondernemers een gelijke toegang bieden tot de opdracht en niet leiden tot ongerechtvaardigde belemmeringen van de mededinging.</w:t>
      </w:r>
      <w:r w:rsidRPr="008041CE">
        <w:rPr>
          <w:rStyle w:val="eop"/>
          <w:rFonts w:cs="Segoe UI"/>
          <w:color w:val="000000"/>
          <w:szCs w:val="20"/>
        </w:rPr>
        <w:t> </w:t>
      </w:r>
    </w:p>
    <w:p w14:paraId="43D8F9D4" w14:textId="6FFEC8E8" w:rsidR="008041CE" w:rsidRPr="003C4A09" w:rsidRDefault="008041CE">
      <w:pPr>
        <w:pStyle w:val="Lijstnummering"/>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pPr>
      <w:r w:rsidRPr="008041CE">
        <w:rPr>
          <w:rStyle w:val="normaltextrun"/>
          <w:rFonts w:cs="Segoe UI"/>
          <w:color w:val="000000"/>
          <w:szCs w:val="20"/>
          <w:lang w:val="nl-NL"/>
        </w:rPr>
        <w:t>Het is verboden om een bepaald fabricaat of een bepaalde herkomst te vermelden</w:t>
      </w:r>
      <w:r w:rsidR="0077545C">
        <w:rPr>
          <w:rStyle w:val="normaltextrun"/>
          <w:rFonts w:cs="Segoe UI"/>
          <w:color w:val="000000"/>
          <w:szCs w:val="20"/>
          <w:lang w:val="nl-NL"/>
        </w:rPr>
        <w:t>, tenzij in uitzonderlijke gevallen</w:t>
      </w:r>
      <w:r w:rsidRPr="008041CE">
        <w:rPr>
          <w:rStyle w:val="normaltextrun"/>
          <w:rFonts w:cs="Segoe UI"/>
          <w:color w:val="000000"/>
          <w:szCs w:val="20"/>
          <w:lang w:val="nl-NL"/>
        </w:rPr>
        <w:t xml:space="preserve">; in geval van </w:t>
      </w:r>
      <w:r w:rsidR="00C8417B">
        <w:rPr>
          <w:rStyle w:val="normaltextrun"/>
          <w:rFonts w:cs="Segoe UI"/>
          <w:color w:val="000000"/>
          <w:szCs w:val="20"/>
          <w:lang w:val="nl-NL"/>
        </w:rPr>
        <w:t xml:space="preserve">het foutief </w:t>
      </w:r>
      <w:r w:rsidR="00CF2209">
        <w:rPr>
          <w:rStyle w:val="normaltextrun"/>
          <w:rFonts w:cs="Segoe UI"/>
          <w:color w:val="000000"/>
          <w:szCs w:val="20"/>
          <w:lang w:val="nl-NL"/>
        </w:rPr>
        <w:t>toepassen</w:t>
      </w:r>
      <w:r w:rsidRPr="008041CE">
        <w:rPr>
          <w:rStyle w:val="normaltextrun"/>
          <w:rFonts w:cs="Segoe UI"/>
          <w:color w:val="000000"/>
          <w:szCs w:val="20"/>
          <w:lang w:val="nl-NL"/>
        </w:rPr>
        <w:t xml:space="preserve"> van dat </w:t>
      </w:r>
      <w:r w:rsidR="00D27936">
        <w:rPr>
          <w:rStyle w:val="normaltextrun"/>
          <w:rFonts w:cs="Segoe UI"/>
          <w:color w:val="000000"/>
          <w:szCs w:val="20"/>
          <w:lang w:val="nl-NL"/>
        </w:rPr>
        <w:t>quasi-</w:t>
      </w:r>
      <w:r w:rsidRPr="008041CE">
        <w:rPr>
          <w:rStyle w:val="normaltextrun"/>
          <w:rFonts w:cs="Segoe UI"/>
          <w:color w:val="000000"/>
          <w:szCs w:val="20"/>
          <w:lang w:val="nl-NL"/>
        </w:rPr>
        <w:t>verbod staat het de inschrijver vrij een gelijkwaardig product of dienst aan te bieden.</w:t>
      </w:r>
      <w:r w:rsidRPr="008041CE">
        <w:rPr>
          <w:rStyle w:val="eop"/>
          <w:rFonts w:cs="Segoe UI"/>
          <w:color w:val="000000"/>
          <w:szCs w:val="20"/>
        </w:rPr>
        <w:t> </w:t>
      </w:r>
    </w:p>
    <w:p w14:paraId="75F51BF2" w14:textId="0EC78D0B" w:rsidR="008041CE" w:rsidRPr="008041CE" w:rsidRDefault="008041CE">
      <w:pPr>
        <w:pStyle w:val="Lijstnummering"/>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rFonts w:cs="Segoe UI"/>
          <w:szCs w:val="20"/>
        </w:rPr>
      </w:pPr>
      <w:r w:rsidRPr="008041CE">
        <w:rPr>
          <w:rStyle w:val="normaltextrun"/>
          <w:rFonts w:cs="Segoe UI"/>
          <w:color w:val="000000"/>
          <w:szCs w:val="20"/>
          <w:lang w:val="nl-NL"/>
        </w:rPr>
        <w:t xml:space="preserve">In het geval van gebruik van keurmerken waakt de aanbestedende overheid erover dat die keurmerken steeds proportioneel zijn met het voorwerp van de opdracht, en dat </w:t>
      </w:r>
      <w:r w:rsidR="00DD1ED1">
        <w:rPr>
          <w:rStyle w:val="normaltextrun"/>
          <w:rFonts w:cs="Segoe UI"/>
          <w:color w:val="000000"/>
          <w:szCs w:val="20"/>
          <w:lang w:val="nl-NL"/>
        </w:rPr>
        <w:t xml:space="preserve">om </w:t>
      </w:r>
      <w:r w:rsidRPr="008041CE">
        <w:rPr>
          <w:rStyle w:val="normaltextrun"/>
          <w:rFonts w:cs="Segoe UI"/>
          <w:color w:val="000000"/>
          <w:szCs w:val="20"/>
          <w:lang w:val="nl-NL"/>
        </w:rPr>
        <w:t>onder meer de toegang van kmo’s tot de opdracht geenszins te belemmeren.</w:t>
      </w:r>
    </w:p>
    <w:p w14:paraId="573DFC43" w14:textId="77777777" w:rsidR="008041CE" w:rsidRPr="008041CE" w:rsidRDefault="008041CE">
      <w:pPr>
        <w:pStyle w:val="Lijstnummering"/>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rPr>
          <w:rStyle w:val="normaltextrun"/>
          <w:rFonts w:cs="Segoe UI"/>
          <w:szCs w:val="20"/>
        </w:rPr>
      </w:pPr>
      <w:r w:rsidRPr="00B707B5">
        <w:rPr>
          <w:rStyle w:val="normaltextrun"/>
          <w:b/>
          <w:bCs/>
          <w:color w:val="0070C0"/>
          <w:szCs w:val="20"/>
          <w:lang w:val="nl-NL"/>
        </w:rPr>
        <w:t>In het geval dat de aanbesteder geen enkele of maar één offerte heeft ontvangen voor een overheidsopdracht, is de aanbesteder verplicht om gebruik te maken van de toepassing in e-Procurement</w:t>
      </w:r>
      <w:r w:rsidRPr="00B707B5">
        <w:rPr>
          <w:rStyle w:val="normaltextrun"/>
          <w:color w:val="0070C0"/>
          <w:szCs w:val="20"/>
          <w:lang w:val="nl-NL"/>
        </w:rPr>
        <w:t xml:space="preserve"> </w:t>
      </w:r>
      <w:r w:rsidRPr="008041CE">
        <w:rPr>
          <w:rStyle w:val="normaltextrun"/>
          <w:color w:val="000000"/>
          <w:szCs w:val="20"/>
          <w:lang w:val="nl-NL"/>
        </w:rPr>
        <w:t xml:space="preserve">die toelaat om de niet-deelname van andere uitgenodigde en/of geïnteresseerde ondernemingen te bevragen, onder meer inzake de proportionaliteit van de technische minimumeisen, uitgezonderd bij het specifieke geval waar maar één onderneming uitgenodigd werd om een offerte in te dienen en er omwille van die reden maar één offerte ontvangen werd. </w:t>
      </w:r>
    </w:p>
    <w:p w14:paraId="21324C85" w14:textId="6DC54085" w:rsidR="008041CE" w:rsidRPr="000D3D5B" w:rsidRDefault="008041CE">
      <w:pPr>
        <w:pStyle w:val="Lijstnummering"/>
        <w:numPr>
          <w:ilvl w:val="0"/>
          <w:numId w:val="8"/>
        </w:numPr>
        <w:pBdr>
          <w:top w:val="single" w:sz="4" w:space="1" w:color="auto"/>
          <w:left w:val="single" w:sz="4" w:space="4" w:color="auto"/>
          <w:bottom w:val="single" w:sz="4" w:space="1" w:color="auto"/>
          <w:right w:val="single" w:sz="4" w:space="4" w:color="auto"/>
        </w:pBdr>
        <w:shd w:val="clear" w:color="auto" w:fill="FBE4D5" w:themeFill="accent2" w:themeFillTint="33"/>
        <w:rPr>
          <w:color w:val="000000"/>
          <w:szCs w:val="20"/>
          <w:lang w:val="nl-NL"/>
        </w:rPr>
      </w:pPr>
      <w:r w:rsidRPr="008041CE">
        <w:rPr>
          <w:rStyle w:val="normaltextrun"/>
          <w:color w:val="000000"/>
          <w:szCs w:val="20"/>
          <w:lang w:val="nl-NL"/>
        </w:rPr>
        <w:t xml:space="preserve">In alle andere gevallen is het gebruik van de nieuwe toepassing in e-Procurement sterk aanbevolen voor de aanbesteders en wordt dat beschouwd als een best practice. Een opvolging van het gebruik van de nieuwe toepassing in e-Procurement wordt voorzien.  </w:t>
      </w:r>
      <w:r w:rsidRPr="000D3D5B">
        <w:rPr>
          <w:rStyle w:val="normaltextrun"/>
          <w:color w:val="000000"/>
          <w:szCs w:val="20"/>
          <w:lang w:val="nl-NL"/>
        </w:rPr>
        <w:t xml:space="preserve"> </w:t>
      </w:r>
    </w:p>
    <w:p w14:paraId="52B5DB8C" w14:textId="6581466F" w:rsidR="00E35B60" w:rsidRPr="00437C23" w:rsidRDefault="005D4EB7">
      <w:pPr>
        <w:pStyle w:val="Kop1"/>
      </w:pPr>
      <w:bookmarkStart w:id="72" w:name="_Toc132703173"/>
      <w:bookmarkStart w:id="73" w:name="_Toc135839956"/>
      <w:bookmarkStart w:id="74" w:name="_Toc150870561"/>
      <w:r>
        <w:lastRenderedPageBreak/>
        <w:t xml:space="preserve">Principe 5 – </w:t>
      </w:r>
      <w:bookmarkEnd w:id="72"/>
      <w:r w:rsidR="00B87F88" w:rsidRPr="00B87F88">
        <w:t>Voorzien in een adequate bescherming van de rechten op intellectuele eigendom</w:t>
      </w:r>
      <w:bookmarkEnd w:id="73"/>
      <w:bookmarkEnd w:id="74"/>
    </w:p>
    <w:p w14:paraId="353CB35A" w14:textId="77777777" w:rsidR="00437C23" w:rsidRDefault="00437C23">
      <w:pPr>
        <w:pStyle w:val="Kop2"/>
      </w:pPr>
      <w:bookmarkStart w:id="75" w:name="_Toc135839957"/>
      <w:bookmarkStart w:id="76" w:name="_Toc150870562"/>
      <w:r>
        <w:t>Doelstelling</w:t>
      </w:r>
      <w:bookmarkEnd w:id="75"/>
      <w:bookmarkEnd w:id="76"/>
    </w:p>
    <w:p w14:paraId="3FA1331A" w14:textId="77777777" w:rsidR="005F029B" w:rsidRDefault="005F029B" w:rsidP="005F029B">
      <w:r w:rsidRPr="10CC06C0">
        <w:t>Geval per geval de belangen analyseren van zowel de aanbesteder als de opdrachtnemer om een optimaal en proportioneel evenwicht te bekomen bij de clausules over intellectueel eigendomsrecht. Waar mogelijk moet de opdrachtnemer (onderneming) blijven beschikken over de mogelijkheid om de intellectuele eigendomsrechten maximaal te exploiteren in het kader van toekomstige projecten en opdrachten.</w:t>
      </w:r>
    </w:p>
    <w:p w14:paraId="354AD472" w14:textId="5A51CA3A" w:rsidR="008434B6" w:rsidRDefault="005F029B" w:rsidP="005F029B">
      <w:r w:rsidRPr="10CC06C0">
        <w:t>De intellectuele eigendomsportefeuille is, zeker voor innovatieve kmo’s, immers bepalend voor het voortbestaan en de ontwikkeling van de economische activiteit</w:t>
      </w:r>
      <w:r>
        <w:t>.</w:t>
      </w:r>
    </w:p>
    <w:p w14:paraId="021BB26D" w14:textId="77777777" w:rsidR="00437C23" w:rsidRDefault="00437C23">
      <w:pPr>
        <w:pStyle w:val="Kop2"/>
      </w:pPr>
      <w:bookmarkStart w:id="77" w:name="_Toc135839958"/>
      <w:bookmarkStart w:id="78" w:name="_Toc150870563"/>
      <w:r>
        <w:t>Wat zegt de reglementering overheidsopdrachten?</w:t>
      </w:r>
      <w:bookmarkEnd w:id="77"/>
      <w:bookmarkEnd w:id="78"/>
    </w:p>
    <w:p w14:paraId="3E292919" w14:textId="76287E06" w:rsidR="00A91B4B" w:rsidRDefault="00A91B4B" w:rsidP="00A91B4B">
      <w:r w:rsidRPr="5A9CA57C">
        <w:t xml:space="preserve">De artikelen 19 en 20 van het </w:t>
      </w:r>
      <w:r w:rsidR="0031055F">
        <w:t>koninklijk besluit</w:t>
      </w:r>
      <w:r w:rsidR="0031055F" w:rsidRPr="5A9CA57C">
        <w:t xml:space="preserve"> </w:t>
      </w:r>
      <w:r w:rsidRPr="5A9CA57C">
        <w:t xml:space="preserve">van </w:t>
      </w:r>
      <w:hyperlink r:id="rId71" w:history="1">
        <w:r w:rsidRPr="0031055F">
          <w:rPr>
            <w:rStyle w:val="Hyperlink"/>
          </w:rPr>
          <w:t>14 januari 2013</w:t>
        </w:r>
      </w:hyperlink>
      <w:r w:rsidRPr="5A9CA57C">
        <w:t xml:space="preserve"> tot bepaling van de algemene uitvoeringsregels van de overheidsopdrachten </w:t>
      </w:r>
      <w:r w:rsidRPr="00E9547E">
        <w:rPr>
          <w:b/>
          <w:bCs/>
          <w:color w:val="0070C0"/>
        </w:rPr>
        <w:t xml:space="preserve">bepalen dat de </w:t>
      </w:r>
      <w:r w:rsidR="00025876" w:rsidRPr="00E9547E">
        <w:rPr>
          <w:b/>
          <w:bCs/>
          <w:color w:val="0070C0"/>
        </w:rPr>
        <w:t>aanbesteder</w:t>
      </w:r>
      <w:r w:rsidRPr="00E9547E">
        <w:rPr>
          <w:b/>
          <w:bCs/>
          <w:color w:val="0070C0"/>
        </w:rPr>
        <w:t xml:space="preserve"> de intellectuele eigendomsrechten</w:t>
      </w:r>
      <w:r w:rsidRPr="5A9CA57C">
        <w:t xml:space="preserve"> die ontstaan, ontwikkeld of gebruikt worden bij de uitvoering van de opdracht </w:t>
      </w:r>
      <w:r w:rsidRPr="00E9547E">
        <w:rPr>
          <w:b/>
          <w:bCs/>
          <w:color w:val="0070C0"/>
        </w:rPr>
        <w:t>niet verkrijgt, behoudens andersluidende bepaling</w:t>
      </w:r>
      <w:r w:rsidRPr="00E9547E">
        <w:rPr>
          <w:color w:val="0070C0"/>
        </w:rPr>
        <w:t xml:space="preserve"> </w:t>
      </w:r>
      <w:r w:rsidRPr="006A6C69">
        <w:rPr>
          <w:b/>
          <w:bCs/>
          <w:color w:val="0070C0"/>
        </w:rPr>
        <w:t>in de opdrachtdocumenten</w:t>
      </w:r>
      <w:r w:rsidRPr="5A9CA57C">
        <w:t xml:space="preserve">. De wetgever voorziet echter wel een uitzondering inzake tekeningen, modellen, emblemen en domeinnamen. </w:t>
      </w:r>
    </w:p>
    <w:p w14:paraId="4C1A69EA" w14:textId="1AF6608D" w:rsidR="00A91B4B" w:rsidRPr="00FD6D6F" w:rsidRDefault="00A91B4B" w:rsidP="00A91B4B">
      <w:r w:rsidRPr="5A9CA57C">
        <w:t>Ook voor bepaalde methodes of knowhow die gedaan, verworven, ontwikkeld of gebruikt worden bij de uitvoering van de opdracht, verkrijgt de aanbesteder niet automatisch de rechten hierop.</w:t>
      </w:r>
    </w:p>
    <w:p w14:paraId="2C5E1AF0" w14:textId="4784D790" w:rsidR="00A91B4B" w:rsidRDefault="00A91B4B" w:rsidP="00A91B4B">
      <w:r w:rsidRPr="51B36001">
        <w:t>Art</w:t>
      </w:r>
      <w:r>
        <w:t>ikel</w:t>
      </w:r>
      <w:r w:rsidRPr="51B36001">
        <w:t xml:space="preserve"> 53 van de wet van </w:t>
      </w:r>
      <w:hyperlink r:id="rId72" w:history="1">
        <w:r w:rsidRPr="0025043B">
          <w:rPr>
            <w:rStyle w:val="Hyperlink"/>
          </w:rPr>
          <w:t>17 juni 2016</w:t>
        </w:r>
      </w:hyperlink>
      <w:r w:rsidRPr="51B36001">
        <w:t xml:space="preserve"> stelt tevens dat de technische specificaties kunnen bepalen of de overdracht van intellectuele eigendomsrechten vereist zal zijn. </w:t>
      </w:r>
    </w:p>
    <w:p w14:paraId="313C365D" w14:textId="79F701BD" w:rsidR="00A91B4B" w:rsidRPr="00FD6D6F" w:rsidRDefault="00A91B4B" w:rsidP="00A91B4B">
      <w:r>
        <w:t>Aanvullend</w:t>
      </w:r>
      <w:r w:rsidRPr="51B36001">
        <w:t xml:space="preserve"> bepaalt artikel 30 van het </w:t>
      </w:r>
      <w:r w:rsidR="0009075B">
        <w:t>KB</w:t>
      </w:r>
      <w:r w:rsidR="0025043B" w:rsidRPr="51B36001">
        <w:t xml:space="preserve"> </w:t>
      </w:r>
      <w:r w:rsidR="009210F5">
        <w:t xml:space="preserve">Plaatsing </w:t>
      </w:r>
      <w:r w:rsidRPr="51B36001">
        <w:t xml:space="preserve">van </w:t>
      </w:r>
      <w:hyperlink r:id="rId73" w:history="1">
        <w:r w:rsidRPr="008358AD">
          <w:rPr>
            <w:rStyle w:val="Hyperlink"/>
          </w:rPr>
          <w:t>18 april 2017</w:t>
        </w:r>
      </w:hyperlink>
      <w:r w:rsidRPr="51B36001">
        <w:t xml:space="preserve"> het volgende:</w:t>
      </w:r>
    </w:p>
    <w:p w14:paraId="6DFE6B12" w14:textId="383E20DA" w:rsidR="00A91B4B" w:rsidRPr="00EE4274" w:rsidRDefault="00EE4274">
      <w:pPr>
        <w:pStyle w:val="Bullet1"/>
        <w:rPr>
          <w:lang w:val="nl-BE"/>
        </w:rPr>
      </w:pPr>
      <w:r w:rsidRPr="00EE4274">
        <w:rPr>
          <w:lang w:val="nl-BE"/>
        </w:rPr>
        <w:t>i</w:t>
      </w:r>
      <w:r w:rsidR="00A91B4B" w:rsidRPr="00EE4274">
        <w:rPr>
          <w:lang w:val="nl-BE"/>
        </w:rPr>
        <w:t>ndien de aanbestedende overheid zelf een volledige beschrijving van het geheel of een deel van de opdracht geeft, zijn de aankoopprijs en de verschuldigde vergoedingen voor de gebruikslicenties van de bestaande intellectuele eigendomsrechten die nodig zijn voor de uitvoering van de opdracht en door de aanbestedende overheid kenbaar worden gemaakt, inbegrepen in de eenheidsprijzen of de globale prijzen van de opdracht</w:t>
      </w:r>
      <w:r w:rsidR="004F5BC7">
        <w:rPr>
          <w:lang w:val="nl-BE"/>
        </w:rPr>
        <w:t>;</w:t>
      </w:r>
    </w:p>
    <w:p w14:paraId="545E70D9" w14:textId="49AE56DB" w:rsidR="00A91B4B" w:rsidRPr="00EE4274" w:rsidRDefault="00EE4274">
      <w:pPr>
        <w:pStyle w:val="Bullet1"/>
        <w:rPr>
          <w:lang w:val="nl-BE"/>
        </w:rPr>
      </w:pPr>
      <w:r w:rsidRPr="00EE4274">
        <w:rPr>
          <w:lang w:val="nl-BE"/>
        </w:rPr>
        <w:t>i</w:t>
      </w:r>
      <w:r w:rsidR="00A91B4B" w:rsidRPr="00EE4274">
        <w:rPr>
          <w:lang w:val="nl-BE"/>
        </w:rPr>
        <w:t>ndien de aanbestedende overheid geen melding maakt van het bestaan van een intellectueel eigendomsrecht of van een gebruikslicentie, vallen de aankoopprijs en de vergoedingen te haren laste. In dat geval is</w:t>
      </w:r>
      <w:r w:rsidRPr="00EE4274">
        <w:rPr>
          <w:lang w:val="nl-BE"/>
        </w:rPr>
        <w:t xml:space="preserve"> </w:t>
      </w:r>
      <w:r w:rsidR="00A91B4B" w:rsidRPr="00EE4274">
        <w:rPr>
          <w:lang w:val="nl-BE"/>
        </w:rPr>
        <w:t>ze ook aansprakelijk voor eventuele schadevergoedingen gevorderd door de titularis van het intellectuele eigendomsrecht of de licentiehouder</w:t>
      </w:r>
      <w:r w:rsidR="004A04FD">
        <w:rPr>
          <w:lang w:val="nl-BE"/>
        </w:rPr>
        <w:t>;</w:t>
      </w:r>
    </w:p>
    <w:p w14:paraId="461C1078" w14:textId="10EA4B46" w:rsidR="00A91B4B" w:rsidRPr="00EE4274" w:rsidRDefault="00EE4274">
      <w:pPr>
        <w:pStyle w:val="Bullet1"/>
        <w:rPr>
          <w:lang w:val="nl-BE"/>
        </w:rPr>
      </w:pPr>
      <w:r w:rsidRPr="00EE4274">
        <w:rPr>
          <w:lang w:val="nl-BE"/>
        </w:rPr>
        <w:t>w</w:t>
      </w:r>
      <w:r w:rsidR="00A91B4B" w:rsidRPr="00EE4274">
        <w:rPr>
          <w:lang w:val="nl-BE"/>
        </w:rPr>
        <w:t>anneer de opdrachtdocumenten de inschrijvers verplichten om zelf de beschrijving van het geheel of een deel van de opdrachtprestaties te geven, zijn de vergoedingen verschuldigd aan de inschrijvers voor het gebruik, in dat kader, van een intellectueel eigendomsrecht waarvan ze titularis zijn of waarvoor ze van een derde een gebruikslicentie moeten verkrijgen voor het geheel of een deel van die prestaties, inbegrepen in de eenheidsprijzen en de globale prijzen van de opdracht. In voorkomend geval vermelden zij in hun offerte het nummer en de datum van de registratie van de eventuele gebruikslicentie. In geen geval zijn zij gerechtigd om van de aanbestedende overheid schadevergoeding te eisen op grond van de schending van de intellectuele eigendomsrechten in kwestie.</w:t>
      </w:r>
    </w:p>
    <w:p w14:paraId="2A1732F1" w14:textId="6A608805" w:rsidR="005F029B" w:rsidRDefault="00A91B4B" w:rsidP="00437C23">
      <w:r>
        <w:t>Tot slot is er a</w:t>
      </w:r>
      <w:r w:rsidRPr="51B36001">
        <w:t xml:space="preserve">rtikel 40 van de wet </w:t>
      </w:r>
      <w:r>
        <w:t>dat</w:t>
      </w:r>
      <w:r w:rsidRPr="51B36001">
        <w:t xml:space="preserve"> betrekking</w:t>
      </w:r>
      <w:r>
        <w:t xml:space="preserve"> heeft</w:t>
      </w:r>
      <w:r w:rsidRPr="51B36001">
        <w:t xml:space="preserve"> op het innovatiepartnerschap. </w:t>
      </w:r>
      <w:r w:rsidR="009014DE">
        <w:t xml:space="preserve">Zoals reeds </w:t>
      </w:r>
      <w:r w:rsidR="00020225">
        <w:t>vermeld</w:t>
      </w:r>
      <w:r w:rsidR="007107F2">
        <w:t xml:space="preserve"> onder principe 3 van dit charter gaat het </w:t>
      </w:r>
      <w:r w:rsidRPr="51B36001">
        <w:t xml:space="preserve">om een </w:t>
      </w:r>
      <w:r>
        <w:t>relatief jonge</w:t>
      </w:r>
      <w:r w:rsidRPr="51B36001">
        <w:t xml:space="preserve"> plaatsingsprocedure gericht op de ontwikkeling van innovatieve producten, diensten of werken en de daaropvolgende aankoop. Voorgaand artikel bepaalt: “</w:t>
      </w:r>
      <w:r w:rsidRPr="008F2426">
        <w:rPr>
          <w:i/>
          <w:iCs/>
        </w:rPr>
        <w:t xml:space="preserve">In de opdrachtdocumenten bepaalt de aanbestedende overheid welke regelingen op de intellectuele eigendomsrechten van toepassing zijn. Bij innovatiepartnerschappen met meerdere partners mag de aanbestedende overheid voorgestelde oplossingen of andere door een partner in het kader van het partnerschap meegedeelde vertrouwelijke inlichtingen, overeenkomstig artikel 13, niet aan de andere partners zonder de voorafgaande en </w:t>
      </w:r>
      <w:r w:rsidRPr="008F2426">
        <w:rPr>
          <w:i/>
          <w:iCs/>
        </w:rPr>
        <w:lastRenderedPageBreak/>
        <w:t>schriftelijke instemming van die partner bekendmaken. Die toestemming mag geen algemene strekking hebben, maar moet verwijzen naar de beoogde bekendmaking van specifieke inlichtinge</w:t>
      </w:r>
      <w:r w:rsidRPr="001E4020">
        <w:rPr>
          <w:i/>
          <w:iCs/>
        </w:rPr>
        <w:t>n</w:t>
      </w:r>
      <w:r w:rsidRPr="001E4020">
        <w:t>.”</w:t>
      </w:r>
    </w:p>
    <w:p w14:paraId="2B34BBED" w14:textId="77777777" w:rsidR="00437C23" w:rsidRDefault="00437C23">
      <w:pPr>
        <w:pStyle w:val="Kop2"/>
      </w:pPr>
      <w:bookmarkStart w:id="79" w:name="_Toc135839959"/>
      <w:bookmarkStart w:id="80" w:name="_Toc150870564"/>
      <w:r>
        <w:t>Toelichting</w:t>
      </w:r>
      <w:bookmarkEnd w:id="79"/>
      <w:bookmarkEnd w:id="80"/>
    </w:p>
    <w:p w14:paraId="40276E95" w14:textId="42191791" w:rsidR="00345210" w:rsidRDefault="00345210" w:rsidP="00345210">
      <w:r w:rsidRPr="10CC06C0">
        <w:t xml:space="preserve">Het </w:t>
      </w:r>
      <w:r w:rsidRPr="10CC06C0">
        <w:rPr>
          <w:b/>
          <w:bCs/>
        </w:rPr>
        <w:t>proportionaliteitsbeginsel</w:t>
      </w:r>
      <w:r w:rsidRPr="10CC06C0">
        <w:t xml:space="preserve"> bij overheidsopdrachten verplicht de aanbesteder om de eisen steeds redelijk te houden; dat beginsel </w:t>
      </w:r>
      <w:r w:rsidRPr="00193E70">
        <w:rPr>
          <w:b/>
          <w:bCs/>
        </w:rPr>
        <w:t>kan</w:t>
      </w:r>
      <w:r w:rsidRPr="10CC06C0">
        <w:t xml:space="preserve"> </w:t>
      </w:r>
      <w:r w:rsidRPr="008D250B">
        <w:rPr>
          <w:b/>
          <w:bCs/>
        </w:rPr>
        <w:t>ook doorgetrokken worden naar de intellectuele eigendomsrechten</w:t>
      </w:r>
      <w:r w:rsidRPr="10CC06C0">
        <w:t xml:space="preserve">. </w:t>
      </w:r>
      <w:r w:rsidRPr="00AD46F1">
        <w:rPr>
          <w:b/>
          <w:bCs/>
          <w:color w:val="0070C0"/>
        </w:rPr>
        <w:t>Zo is het aangewezen om bij het opstellen van de opdracht reeds voldoende aandacht te hebben voor het thema intellectuele eigendom</w:t>
      </w:r>
      <w:r w:rsidRPr="00246592">
        <w:rPr>
          <w:b/>
          <w:bCs/>
          <w:color w:val="0070C0"/>
        </w:rPr>
        <w:t>.</w:t>
      </w:r>
      <w:r w:rsidRPr="10CC06C0">
        <w:t xml:space="preserve"> Op die manier kan de aanbesteder bijvoorbeeld een beter zicht krijgen op de potentiële exploitatiewijzen</w:t>
      </w:r>
      <w:r w:rsidR="00D72882">
        <w:t xml:space="preserve"> ervan</w:t>
      </w:r>
      <w:r w:rsidRPr="10CC06C0">
        <w:t xml:space="preserve"> in plaats van dan maar voor de zekerheid of uit gemakzucht te kiezen voor een overdacht. </w:t>
      </w:r>
    </w:p>
    <w:p w14:paraId="43CA3008" w14:textId="7C9E47F1" w:rsidR="00345210" w:rsidRPr="00FD6D6F" w:rsidRDefault="00345210" w:rsidP="00345210">
      <w:r w:rsidRPr="10CC06C0">
        <w:t xml:space="preserve">Om dat te bereiken, moet de aanbesteder voldoende reflecteren over de behoeftebepaling, de markt en </w:t>
      </w:r>
      <w:r w:rsidR="0063418C">
        <w:t>de relevante</w:t>
      </w:r>
      <w:r w:rsidR="0063418C" w:rsidRPr="10CC06C0">
        <w:t xml:space="preserve"> </w:t>
      </w:r>
      <w:r w:rsidRPr="10CC06C0">
        <w:t xml:space="preserve">marktpraktijken verkennen en zich goed informeren over de </w:t>
      </w:r>
      <w:r w:rsidR="00105F53">
        <w:t>relevante</w:t>
      </w:r>
      <w:r w:rsidR="00105F53" w:rsidRPr="10CC06C0">
        <w:t xml:space="preserve"> </w:t>
      </w:r>
      <w:r w:rsidRPr="10CC06C0">
        <w:t xml:space="preserve">opties inzake intellectuele eigendom waarbij de belangen van de opdrachtnemer niet uit het oog mogen </w:t>
      </w:r>
      <w:r w:rsidR="00585862" w:rsidRPr="10CC06C0">
        <w:t xml:space="preserve">worden </w:t>
      </w:r>
      <w:r w:rsidRPr="10CC06C0">
        <w:t>verloren. Hou zeker bij het formuleren van de technische specificaties – waarin de voor een werk, levering of dienst gestelde kenmerken worden voorgeschreven – rekening met de impact van die technische specificaties op de (verdeling van de) intellectuele eigendomsrechten.</w:t>
      </w:r>
    </w:p>
    <w:p w14:paraId="3EA17DF2" w14:textId="1E6AAACB" w:rsidR="00345210" w:rsidRPr="00FD6D6F" w:rsidRDefault="00345210" w:rsidP="00345210">
      <w:r w:rsidRPr="5A9CA57C">
        <w:t>Reeds in het huidig</w:t>
      </w:r>
      <w:r>
        <w:t>e</w:t>
      </w:r>
      <w:r w:rsidRPr="5A9CA57C">
        <w:t xml:space="preserve"> </w:t>
      </w:r>
      <w:r w:rsidR="00EF5661">
        <w:t>KB AUR</w:t>
      </w:r>
      <w:r w:rsidR="008F5739">
        <w:t xml:space="preserve"> </w:t>
      </w:r>
      <w:r w:rsidRPr="5A9CA57C">
        <w:t xml:space="preserve">van 14 januari 2013 is het principe van toepassing dat de </w:t>
      </w:r>
      <w:r w:rsidR="008F5739">
        <w:t>aanbesteder</w:t>
      </w:r>
      <w:r w:rsidRPr="5A9CA57C">
        <w:t xml:space="preserve"> niet automatisch de eigendom van de intellectuele rechten verkrijgt die ontstaan, gebruikt of ontwikkeld worden in het kader van de uitvoering van de opdracht. </w:t>
      </w:r>
    </w:p>
    <w:p w14:paraId="54697AFD" w14:textId="5B4D8E90" w:rsidR="00345210" w:rsidRPr="00FD6D6F" w:rsidRDefault="00345210" w:rsidP="00345210">
      <w:r w:rsidRPr="5A9CA57C">
        <w:t xml:space="preserve">Desondanks zijn er in de opdrachtdocumenten nog vaak clausules terug te vinden die voorzien in een overdracht van intellectuele eigendomsrechten ten voordele van de aanbesteder, terwijl andere opties </w:t>
      </w:r>
      <w:r w:rsidR="00080823">
        <w:t>meestal</w:t>
      </w:r>
      <w:r w:rsidRPr="5A9CA57C">
        <w:t xml:space="preserve"> ook mogelijk zijn. Die overdracht van rechten geldt dan zowel voor het Belgische grondgebied als het buitenland, en de bijhorende vergoeding is verwerkt in de prijs voorgesteld door de opdrachtnemer. De dienstverlener is dan in het bijzonder gebonden tot het verkrijgen van het expliciete en voorafgaande akkoord van de aanbesteder voor elk gebruik of elke publicatie van </w:t>
      </w:r>
      <w:r>
        <w:t>bijvoorbeeld een</w:t>
      </w:r>
      <w:r w:rsidRPr="5A9CA57C">
        <w:t xml:space="preserve"> studie of haar resultaten. </w:t>
      </w:r>
    </w:p>
    <w:p w14:paraId="6DA02016" w14:textId="77777777" w:rsidR="00345210" w:rsidRDefault="00345210" w:rsidP="00345210">
      <w:r w:rsidRPr="51B36001">
        <w:t xml:space="preserve">Daarom is een analyse </w:t>
      </w:r>
      <w:r>
        <w:t>van</w:t>
      </w:r>
      <w:r w:rsidRPr="51B36001">
        <w:t xml:space="preserve"> het intellectuele eigendomsrecht geval per geval noodzakelijk om een optimaal evenwicht te bekomen tussen de belangen van zowel de </w:t>
      </w:r>
      <w:r>
        <w:t>aanbesteder</w:t>
      </w:r>
      <w:r w:rsidRPr="51B36001">
        <w:t xml:space="preserve"> als de opdrachtnemer, in het bijzonder:</w:t>
      </w:r>
    </w:p>
    <w:p w14:paraId="1F0EA3A3" w14:textId="46326AFC" w:rsidR="008D27DB" w:rsidRPr="00022038" w:rsidRDefault="008D27DB">
      <w:pPr>
        <w:pStyle w:val="Bullet1"/>
        <w:rPr>
          <w:lang w:val="nl-BE"/>
        </w:rPr>
      </w:pPr>
      <w:r w:rsidRPr="00022038">
        <w:rPr>
          <w:lang w:val="nl-BE"/>
        </w:rPr>
        <w:t>voor de aanbestedende overheid</w:t>
      </w:r>
    </w:p>
    <w:p w14:paraId="0FA85FB6" w14:textId="3ADF5924" w:rsidR="008D27DB" w:rsidRPr="003D5EFD" w:rsidRDefault="008D27DB">
      <w:pPr>
        <w:pStyle w:val="Bullet3"/>
        <w:rPr>
          <w:lang w:val="nl-BE"/>
        </w:rPr>
      </w:pPr>
      <w:r w:rsidRPr="003D5EFD">
        <w:rPr>
          <w:lang w:val="nl-BE"/>
        </w:rPr>
        <w:t>in het kader van het gebruik</w:t>
      </w:r>
      <w:r w:rsidR="00391405" w:rsidRPr="00391405">
        <w:rPr>
          <w:lang w:val="nl-BE"/>
        </w:rPr>
        <w:t xml:space="preserve"> </w:t>
      </w:r>
      <w:r w:rsidR="00391405" w:rsidRPr="003D5EFD">
        <w:rPr>
          <w:lang w:val="nl-BE"/>
        </w:rPr>
        <w:t xml:space="preserve">van het product of de dienst geleverd </w:t>
      </w:r>
      <w:r w:rsidR="007211CF">
        <w:rPr>
          <w:lang w:val="nl-BE"/>
        </w:rPr>
        <w:t>naar aanleiding</w:t>
      </w:r>
      <w:r w:rsidR="00391405" w:rsidRPr="003D5EFD">
        <w:rPr>
          <w:lang w:val="nl-BE"/>
        </w:rPr>
        <w:t xml:space="preserve"> van de overheidsopdracht</w:t>
      </w:r>
      <w:r w:rsidRPr="003D5EFD">
        <w:rPr>
          <w:lang w:val="nl-BE"/>
        </w:rPr>
        <w:t>, om te voorzien in de behoeftes noodzakelijk voor het volbrengen van haar opdrachten;</w:t>
      </w:r>
    </w:p>
    <w:p w14:paraId="496C8522" w14:textId="77777777" w:rsidR="008D27DB" w:rsidRPr="003D5EFD" w:rsidRDefault="008D27DB">
      <w:pPr>
        <w:pStyle w:val="Bullet3"/>
        <w:rPr>
          <w:lang w:val="nl-BE"/>
        </w:rPr>
      </w:pPr>
      <w:r w:rsidRPr="003D5EFD">
        <w:rPr>
          <w:lang w:val="nl-BE"/>
        </w:rPr>
        <w:t>met het oog op bescherming ten aanzien van derden in geval van een schadeclaim gebaseerd op een inbreuk op een intellectueel eigendomsrecht (de noodzakelijke formaliteiten opdat die rechten tegenstelbaar zijn ten aanzien van derden vallen vandaag ten laste van de opdrachtnemer);</w:t>
      </w:r>
    </w:p>
    <w:p w14:paraId="633C5625" w14:textId="77777777" w:rsidR="008D27DB" w:rsidRPr="003D5EFD" w:rsidRDefault="008D27DB">
      <w:pPr>
        <w:pStyle w:val="Bullet3"/>
        <w:rPr>
          <w:lang w:val="nl-BE"/>
        </w:rPr>
      </w:pPr>
      <w:r w:rsidRPr="003D5EFD">
        <w:rPr>
          <w:lang w:val="nl-BE"/>
        </w:rPr>
        <w:t>voor wat betreft de voorspelbaarheid van de prijs;</w:t>
      </w:r>
    </w:p>
    <w:p w14:paraId="1CC1BFC1" w14:textId="4FD99204" w:rsidR="008D27DB" w:rsidRPr="00022038" w:rsidRDefault="008D27DB">
      <w:pPr>
        <w:pStyle w:val="Bullet1"/>
        <w:rPr>
          <w:lang w:val="nl-BE"/>
        </w:rPr>
      </w:pPr>
      <w:r w:rsidRPr="00022038">
        <w:rPr>
          <w:lang w:val="nl-BE"/>
        </w:rPr>
        <w:t>voor de opdrachtnemer</w:t>
      </w:r>
    </w:p>
    <w:p w14:paraId="4FE621AF" w14:textId="77777777" w:rsidR="008D27DB" w:rsidRPr="003D5EFD" w:rsidRDefault="008D27DB">
      <w:pPr>
        <w:pStyle w:val="Bullet3"/>
        <w:rPr>
          <w:lang w:val="nl-BE"/>
        </w:rPr>
      </w:pPr>
      <w:r w:rsidRPr="003D5EFD">
        <w:rPr>
          <w:lang w:val="nl-BE"/>
        </w:rPr>
        <w:t>in het kader van de economische waardering en verdere exploitatie van de gerealiseerde innovaties in het kader van de uitgevoerde opdracht.</w:t>
      </w:r>
    </w:p>
    <w:p w14:paraId="64160454" w14:textId="51844C2F" w:rsidR="00857793" w:rsidRDefault="00857793" w:rsidP="00857793">
      <w:r w:rsidRPr="002E65C3">
        <w:rPr>
          <w:b/>
          <w:bCs/>
        </w:rPr>
        <w:t>De economische spelers moeten</w:t>
      </w:r>
      <w:r w:rsidR="00FC5576" w:rsidRPr="002E65C3">
        <w:rPr>
          <w:b/>
          <w:bCs/>
        </w:rPr>
        <w:t xml:space="preserve"> dus</w:t>
      </w:r>
      <w:r w:rsidRPr="002E65C3">
        <w:rPr>
          <w:b/>
          <w:bCs/>
        </w:rPr>
        <w:t xml:space="preserve"> bij machte zijn om de intellectuele eigendom, verbonden aan innovaties ontwikkeld tijdens de uitvoering van een overheidsopdracht, te behouden</w:t>
      </w:r>
      <w:r w:rsidRPr="5A9CA57C">
        <w:t xml:space="preserve">, niettegenstaande zij de nodige licenties moeten toekennen aan de aanbestedende overheid opdat die het resultaat van het contract zou kunnen exploiteren (sinds de hervorming van 2013 is de gebruikerslicentie niet langer begrensd tot de noden van de overheidsopdracht). </w:t>
      </w:r>
    </w:p>
    <w:p w14:paraId="3BB0F357" w14:textId="7EAD83CA" w:rsidR="00857793" w:rsidRPr="007D7D4F" w:rsidRDefault="00857793" w:rsidP="00857793">
      <w:r w:rsidRPr="5A9CA57C">
        <w:t xml:space="preserve">De </w:t>
      </w:r>
      <w:r w:rsidRPr="00FC5576">
        <w:rPr>
          <w:b/>
          <w:bCs/>
        </w:rPr>
        <w:t>toekenning van een licentie of gebruiksrecht</w:t>
      </w:r>
      <w:r w:rsidRPr="5A9CA57C">
        <w:t xml:space="preserve"> moet gebeuren aan een redelijke prijs, waarbij die onderdeel uitmaakt van de prijs voorgesteld door de opdrachtnemer. De aanbesteder somt in de opdrachtdocumenten de exploitatiewijzen op waarvoor zij een licentie wil verkrijgen. Die exploitatiewijzen kunnen overigens van diverse aard </w:t>
      </w:r>
      <w:r w:rsidRPr="007D7D4F">
        <w:t xml:space="preserve">zijn: het kan gaan om het onderhoud en de actualisering van informaticaprogramma's en databanken, de al dan niet elektronische ondersteuning van teksten, beelden en opnames, het recht om het werk of de creatie aan te </w:t>
      </w:r>
      <w:r w:rsidRPr="007D7D4F">
        <w:lastRenderedPageBreak/>
        <w:t>passen, enz. De opsomming ervan in de opdrachtdocumenten voorkomt interpretatieproblemen wat de draagwijdte van de licentie betreft.</w:t>
      </w:r>
    </w:p>
    <w:p w14:paraId="0E742EDE" w14:textId="2CD65297" w:rsidR="00857793" w:rsidRDefault="00857793" w:rsidP="00857793">
      <w:r w:rsidRPr="5A9CA57C">
        <w:t xml:space="preserve">Voorgaande zal de opdrachtnemer, </w:t>
      </w:r>
      <w:r w:rsidRPr="00A4576E">
        <w:rPr>
          <w:b/>
          <w:bCs/>
          <w:color w:val="0070C0"/>
        </w:rPr>
        <w:t xml:space="preserve">in het bijzonder </w:t>
      </w:r>
      <w:r w:rsidR="006C2022" w:rsidRPr="00A4576E">
        <w:rPr>
          <w:b/>
          <w:bCs/>
          <w:color w:val="0070C0"/>
        </w:rPr>
        <w:t xml:space="preserve">voor </w:t>
      </w:r>
      <w:r w:rsidRPr="00A4576E">
        <w:rPr>
          <w:b/>
          <w:bCs/>
          <w:color w:val="0070C0"/>
        </w:rPr>
        <w:t>de innovatieve kmo’s waarvan de intellectuele eigendomsportefeuille het voortbestaan en de ontwikkeling van de economische activiteit bepaalt</w:t>
      </w:r>
      <w:r w:rsidRPr="5A9CA57C">
        <w:t xml:space="preserve">, in voormelde gevallen toestaan de intellectuele eigendomsrechten te behouden en die te blijven gebruiken, ondanks het bestaan van een overheidsopdracht afgesloten met de aanbesteder, maar zonder benadeling van die laatste. </w:t>
      </w:r>
    </w:p>
    <w:p w14:paraId="1A36C175" w14:textId="77777777" w:rsidR="00857793" w:rsidRDefault="00857793" w:rsidP="00857793">
      <w:r w:rsidRPr="5A9CA57C">
        <w:t xml:space="preserve">Bovendien stelt de Europese Commissie in haar </w:t>
      </w:r>
      <w:hyperlink r:id="rId74" w:history="1">
        <w:r w:rsidRPr="008C3CEB">
          <w:rPr>
            <w:rStyle w:val="Hyperlink"/>
            <w:rFonts w:eastAsia="Lato" w:cs="Lato"/>
          </w:rPr>
          <w:t>Richtsnoeren inzake innovatiegericht aanbesteden</w:t>
        </w:r>
      </w:hyperlink>
      <w:r w:rsidRPr="5A9CA57C">
        <w:rPr>
          <w:i/>
          <w:iCs/>
        </w:rPr>
        <w:t xml:space="preserve"> </w:t>
      </w:r>
      <w:r w:rsidRPr="5A9CA57C">
        <w:t>dat “</w:t>
      </w:r>
      <w:r w:rsidRPr="009602BF">
        <w:rPr>
          <w:i/>
          <w:iCs/>
        </w:rPr>
        <w:t>de industriële productie van innovatieve oplossingen kan worden aangejaagd wanneer men de intellectuele eigendomsrechten toewijst aan de leveranciers, terwijl de redelijke belangen van overheidsinkopers volledig worden beschermd en de aanbestedingskosten voor de publieke sector worden verlaagd</w:t>
      </w:r>
      <w:r>
        <w:rPr>
          <w:i/>
          <w:iCs/>
        </w:rPr>
        <w:t>.</w:t>
      </w:r>
      <w:r w:rsidRPr="5A9CA57C">
        <w:t>”.</w:t>
      </w:r>
    </w:p>
    <w:p w14:paraId="7D32E137" w14:textId="60C681CD" w:rsidR="00F54892" w:rsidRDefault="00E75F12" w:rsidP="00857793">
      <w:r w:rsidRPr="001E3CDC">
        <w:t>Tegelijk blijft e</w:t>
      </w:r>
      <w:r w:rsidR="00857793" w:rsidRPr="001E3CDC">
        <w:t xml:space="preserve">en overdracht van rechten op de resultaten dus mogelijk, maar enkel indien zo’n overdracht </w:t>
      </w:r>
      <w:r w:rsidR="00A16D7C">
        <w:t xml:space="preserve">echt </w:t>
      </w:r>
      <w:r w:rsidR="00857793" w:rsidRPr="001E3CDC">
        <w:t xml:space="preserve">noodzakelijk is voor het gebruik van de resultaten van de opdracht door de publieke overheid; </w:t>
      </w:r>
      <w:r w:rsidR="0030592E" w:rsidRPr="001E3CDC">
        <w:t>en</w:t>
      </w:r>
      <w:r w:rsidR="00D34068" w:rsidRPr="001E3CDC">
        <w:t xml:space="preserve"> indien</w:t>
      </w:r>
      <w:r w:rsidR="00857793" w:rsidRPr="001E3CDC">
        <w:t xml:space="preserve"> een gebruikslicentie</w:t>
      </w:r>
      <w:r w:rsidR="008B3C33" w:rsidRPr="001E3CDC">
        <w:t xml:space="preserve"> niet realistisch is</w:t>
      </w:r>
      <w:r w:rsidR="00B629D2" w:rsidRPr="001E3CDC">
        <w:t>.</w:t>
      </w:r>
      <w:r w:rsidR="00B629D2">
        <w:t xml:space="preserve"> </w:t>
      </w:r>
      <w:r w:rsidR="00121EFC">
        <w:t>In de praktijk zijn er</w:t>
      </w:r>
      <w:r w:rsidR="005705D9">
        <w:t xml:space="preserve"> </w:t>
      </w:r>
      <w:r w:rsidR="00F54892">
        <w:t xml:space="preserve">dus </w:t>
      </w:r>
      <w:r w:rsidR="00857793" w:rsidRPr="2B832D60">
        <w:t xml:space="preserve">verschillende scenario’s mogelijk </w:t>
      </w:r>
      <w:r w:rsidR="00E5684E">
        <w:t>waar</w:t>
      </w:r>
      <w:r w:rsidR="00E5684E" w:rsidRPr="2B832D60">
        <w:t xml:space="preserve"> </w:t>
      </w:r>
      <w:r w:rsidR="00857793" w:rsidRPr="2B832D60">
        <w:t xml:space="preserve">een overdracht en/of gebruikslicentie </w:t>
      </w:r>
      <w:r w:rsidR="008F2655">
        <w:t>de voorkeur (kan) geniet(en)</w:t>
      </w:r>
      <w:r w:rsidR="00857793" w:rsidRPr="2B832D60">
        <w:t>.</w:t>
      </w:r>
      <w:r w:rsidR="00857793">
        <w:t xml:space="preserve"> </w:t>
      </w:r>
    </w:p>
    <w:p w14:paraId="76279BC9" w14:textId="068A2826" w:rsidR="00857793" w:rsidRDefault="00857793" w:rsidP="00857793">
      <w:r w:rsidRPr="6D9F1550">
        <w:t>Wanneer</w:t>
      </w:r>
      <w:r>
        <w:t xml:space="preserve"> bijvoorbeeld</w:t>
      </w:r>
      <w:r w:rsidRPr="6D9F1550">
        <w:t xml:space="preserve"> het doel van een opdracht niet herbruikbaar is (bijvoorbeeld bij een specifieke studie, een unieke communicatiecampagne), kan een overdracht “comfortabeler” zijn. De voorwaarden voor het commerciële gebruik van algemene informatie over het bestaan van de overheidsopdracht en over het resultaat daarvan door de opdrachtnemer, moeten gespecificeerd worden in de opdrachtdocumenten.</w:t>
      </w:r>
      <w:r>
        <w:t xml:space="preserve"> </w:t>
      </w:r>
      <w:r w:rsidRPr="51B36001">
        <w:t xml:space="preserve">In het geval van licentie blijft de opdrachtnemer vrij (genoeg) om het resultaat van de overheidsopdracht te commercialiseren. </w:t>
      </w:r>
    </w:p>
    <w:p w14:paraId="380BBD57" w14:textId="299B1566" w:rsidR="001A6E19" w:rsidRDefault="00810086" w:rsidP="00437C23">
      <w:r>
        <w:t>Tot slot</w:t>
      </w:r>
      <w:r w:rsidR="00AE7042">
        <w:t xml:space="preserve"> nog </w:t>
      </w:r>
      <w:r w:rsidR="00DC4D65">
        <w:t xml:space="preserve">drie </w:t>
      </w:r>
      <w:r w:rsidR="00AE7042">
        <w:t>bemerkingen</w:t>
      </w:r>
      <w:r>
        <w:t>:</w:t>
      </w:r>
      <w:r w:rsidR="001A6E19">
        <w:t xml:space="preserve"> </w:t>
      </w:r>
    </w:p>
    <w:p w14:paraId="63F38FAC" w14:textId="70F16499" w:rsidR="00DC4D65" w:rsidRDefault="00DC4D65" w:rsidP="001A6E19">
      <w:pPr>
        <w:pStyle w:val="Bullet1"/>
        <w:rPr>
          <w:lang w:val="nl-BE"/>
        </w:rPr>
      </w:pPr>
      <w:r>
        <w:rPr>
          <w:lang w:val="nl-BE"/>
        </w:rPr>
        <w:t xml:space="preserve">het gebruik van stijlformules </w:t>
      </w:r>
      <w:r w:rsidR="002B1F70">
        <w:rPr>
          <w:lang w:val="nl-BE"/>
        </w:rPr>
        <w:t xml:space="preserve">en algemeenheden </w:t>
      </w:r>
      <w:r>
        <w:rPr>
          <w:lang w:val="nl-BE"/>
        </w:rPr>
        <w:t xml:space="preserve">bij het formuleren van clausules/bepalingen over de intellectuele </w:t>
      </w:r>
      <w:r w:rsidR="00006450">
        <w:rPr>
          <w:lang w:val="nl-BE"/>
        </w:rPr>
        <w:t>eigendoms</w:t>
      </w:r>
      <w:r>
        <w:rPr>
          <w:lang w:val="nl-BE"/>
        </w:rPr>
        <w:t>rechten in de opdrachtdocumenten moet worden vermeden;</w:t>
      </w:r>
    </w:p>
    <w:p w14:paraId="6DB33A37" w14:textId="0C59969C" w:rsidR="000A5858" w:rsidRPr="00852A0B" w:rsidRDefault="001A6E19" w:rsidP="001A6E19">
      <w:pPr>
        <w:pStyle w:val="Bullet1"/>
        <w:rPr>
          <w:lang w:val="nl-BE"/>
        </w:rPr>
      </w:pPr>
      <w:r w:rsidRPr="00852A0B">
        <w:rPr>
          <w:lang w:val="nl-BE"/>
        </w:rPr>
        <w:t>i</w:t>
      </w:r>
      <w:r w:rsidR="00857793" w:rsidRPr="00852A0B">
        <w:rPr>
          <w:lang w:val="nl-BE"/>
        </w:rPr>
        <w:t>ndien het onderzoek en de ontwikkeling gedeeltelijk gefinancierd werden door de aanbestedende overheid kan een vergoeding verschuldigd zijn</w:t>
      </w:r>
      <w:r w:rsidR="00852A0B" w:rsidRPr="00852A0B">
        <w:rPr>
          <w:lang w:val="nl-BE"/>
        </w:rPr>
        <w:t>;</w:t>
      </w:r>
      <w:r w:rsidR="00857793" w:rsidRPr="00852A0B">
        <w:rPr>
          <w:lang w:val="nl-BE"/>
        </w:rPr>
        <w:t xml:space="preserve"> </w:t>
      </w:r>
    </w:p>
    <w:p w14:paraId="60127BE2" w14:textId="411B2F6B" w:rsidR="00345210" w:rsidRPr="00852A0B" w:rsidRDefault="000A5858" w:rsidP="00852A0B">
      <w:pPr>
        <w:pStyle w:val="Bullet1"/>
        <w:rPr>
          <w:lang w:val="nl-BE"/>
        </w:rPr>
      </w:pPr>
      <w:r>
        <w:rPr>
          <w:lang w:val="nl-BE"/>
        </w:rPr>
        <w:t>d</w:t>
      </w:r>
      <w:r w:rsidR="00857793" w:rsidRPr="00852A0B">
        <w:rPr>
          <w:lang w:val="nl-BE"/>
        </w:rPr>
        <w:t>e aanbestedende overheid moet altijd heel aandachtig zijn voor clausules over intellectuele eigendomsrechten waarbij de aanbesteder ondergeschikt wordt gemaakt aan de opdrachtnemer, en nagaan of die voorwaarden de publieke overheid voldoende ruimte laten om de resultaten van de overheidsopdracht te exploiteren.</w:t>
      </w:r>
    </w:p>
    <w:p w14:paraId="5B6F9BA0" w14:textId="75B43F99" w:rsidR="00BA7988" w:rsidRDefault="00174565" w:rsidP="00437C23">
      <w:r>
        <w:rPr>
          <w:noProof/>
        </w:rPr>
        <w:lastRenderedPageBreak/>
        <w:drawing>
          <wp:inline distT="0" distB="0" distL="0" distR="0" wp14:anchorId="3D02348F" wp14:editId="044D2C08">
            <wp:extent cx="5466715" cy="4381500"/>
            <wp:effectExtent l="19050" t="19050" r="1968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484630" cy="4395859"/>
                    </a:xfrm>
                    <a:prstGeom prst="rect">
                      <a:avLst/>
                    </a:prstGeom>
                    <a:noFill/>
                    <a:ln w="6350">
                      <a:solidFill>
                        <a:schemeClr val="tx1"/>
                      </a:solidFill>
                    </a:ln>
                  </pic:spPr>
                </pic:pic>
              </a:graphicData>
            </a:graphic>
          </wp:inline>
        </w:drawing>
      </w:r>
    </w:p>
    <w:p w14:paraId="0454DAEC" w14:textId="77777777" w:rsidR="00437C23" w:rsidRPr="009069A3" w:rsidRDefault="00437C23">
      <w:pPr>
        <w:pStyle w:val="Kop2"/>
      </w:pPr>
      <w:bookmarkStart w:id="81" w:name="_Toc135839960"/>
      <w:bookmarkStart w:id="82" w:name="_Toc150870565"/>
      <w:r>
        <w:t>Richtlijnen en instructies</w:t>
      </w:r>
      <w:bookmarkEnd w:id="81"/>
      <w:bookmarkEnd w:id="82"/>
    </w:p>
    <w:p w14:paraId="46248F41" w14:textId="2C7378DC" w:rsidR="00D12163" w:rsidRPr="005A6089" w:rsidRDefault="00D12163">
      <w:pPr>
        <w:pStyle w:val="Lijstnummering"/>
        <w:numPr>
          <w:ilvl w:val="0"/>
          <w:numId w:val="9"/>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rsidRPr="005A6089">
        <w:rPr>
          <w:rFonts w:eastAsia="Lato"/>
        </w:rPr>
        <w:t>Analyseer geval per geval de belangen van zowel de aanbested</w:t>
      </w:r>
      <w:r w:rsidR="00530242">
        <w:rPr>
          <w:rFonts w:eastAsia="Lato"/>
        </w:rPr>
        <w:t>er</w:t>
      </w:r>
      <w:r w:rsidRPr="005A6089">
        <w:rPr>
          <w:rFonts w:eastAsia="Lato"/>
        </w:rPr>
        <w:t xml:space="preserve"> als de opdrachtnemer en zoek een optimaal, proportioneel evenwicht voor die belangen </w:t>
      </w:r>
      <w:r w:rsidR="00925E38">
        <w:rPr>
          <w:rFonts w:eastAsia="Lato"/>
        </w:rPr>
        <w:t>voor</w:t>
      </w:r>
      <w:r w:rsidRPr="005A6089">
        <w:rPr>
          <w:rFonts w:eastAsia="Lato"/>
        </w:rPr>
        <w:t xml:space="preserve"> de clausules over intellectueel eigendomsrecht. Hou reeds bij de behoeftebepaling, de marktverkenning en vervolgens het formuleren van de technische specificaties rekening met het aspect “intellectuele eigendom” en informeer uzelf als aanbesteder voldoende over de bestaande juridische mogelijkheden. </w:t>
      </w:r>
    </w:p>
    <w:p w14:paraId="03989300" w14:textId="47A404E5" w:rsidR="00D12163" w:rsidRPr="00FD6D6F" w:rsidRDefault="00D12163">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10CC06C0">
        <w:rPr>
          <w:rFonts w:eastAsia="Lato"/>
        </w:rPr>
        <w:t>Zorg ervoor dat de economische spelers de intellectuele eigendom, verbonden aan innovaties ontwikkeld tijdens de uitvoering van een overheidsopdracht, kunnen behouden.</w:t>
      </w:r>
    </w:p>
    <w:p w14:paraId="0F4C0713" w14:textId="56C4CF4F" w:rsidR="00D12163" w:rsidRDefault="00D12163">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10CC06C0">
        <w:rPr>
          <w:rFonts w:eastAsia="Lato"/>
        </w:rPr>
        <w:t xml:space="preserve">Overweeg een overdracht van rechten op de resultaten ten voordele van de </w:t>
      </w:r>
      <w:r w:rsidR="00E82BD4">
        <w:rPr>
          <w:rFonts w:eastAsia="Lato"/>
        </w:rPr>
        <w:t>aanbesteder</w:t>
      </w:r>
      <w:r w:rsidR="00E82BD4" w:rsidRPr="10CC06C0">
        <w:rPr>
          <w:rFonts w:eastAsia="Lato"/>
        </w:rPr>
        <w:t xml:space="preserve"> </w:t>
      </w:r>
      <w:r w:rsidRPr="10CC06C0">
        <w:rPr>
          <w:rFonts w:eastAsia="Lato"/>
        </w:rPr>
        <w:t>enkel maar indien zo</w:t>
      </w:r>
      <w:r w:rsidR="00566A57">
        <w:rPr>
          <w:rFonts w:eastAsia="Lato"/>
        </w:rPr>
        <w:t>’</w:t>
      </w:r>
      <w:r w:rsidRPr="10CC06C0">
        <w:rPr>
          <w:rFonts w:eastAsia="Lato"/>
        </w:rPr>
        <w:t>n overdracht</w:t>
      </w:r>
      <w:r w:rsidR="00566A57">
        <w:rPr>
          <w:rFonts w:eastAsia="Lato"/>
        </w:rPr>
        <w:t xml:space="preserve"> echt</w:t>
      </w:r>
      <w:r w:rsidRPr="10CC06C0">
        <w:rPr>
          <w:rFonts w:eastAsia="Lato"/>
        </w:rPr>
        <w:t xml:space="preserve"> noodzakelijk is voor het gebruik van de resultaten van de opdracht. Specifieer dan in de opdrachtdocumenten de voorwaarden voor het commerciële gebruik van algemene informatie over het bestaan van de opdracht en over het resultaat daarvan door de opdrachtnemer.</w:t>
      </w:r>
    </w:p>
    <w:p w14:paraId="72B80D7C" w14:textId="004A3648" w:rsidR="00D12163" w:rsidRDefault="00D12163">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10CC06C0">
        <w:rPr>
          <w:rFonts w:eastAsia="Lato"/>
        </w:rPr>
        <w:t>In geval van een licentie voor commercieel gebruik</w:t>
      </w:r>
      <w:r w:rsidR="00F5173F">
        <w:rPr>
          <w:rFonts w:eastAsia="Lato"/>
        </w:rPr>
        <w:t xml:space="preserve"> voor de opdrachtnemer</w:t>
      </w:r>
      <w:r w:rsidR="002D164A">
        <w:rPr>
          <w:rFonts w:eastAsia="Lato"/>
        </w:rPr>
        <w:t>, vat</w:t>
      </w:r>
      <w:r w:rsidR="006E69F3">
        <w:rPr>
          <w:rFonts w:eastAsia="Lato"/>
        </w:rPr>
        <w:t xml:space="preserve"> dan</w:t>
      </w:r>
      <w:r w:rsidRPr="10CC06C0">
        <w:rPr>
          <w:rFonts w:eastAsia="Lato"/>
        </w:rPr>
        <w:t xml:space="preserve"> het commercieel gebruik zo ruim als mogelijk op, al dan niet in ruil voor een vergoeding (bijvoorbeeld in de vorm van royalty’s). De aanbesteder vraagt niet meer vergoeding dan nodig en dan als marktconform beschouwd kan worden. Indien nodig wordt de markt verkend. </w:t>
      </w:r>
    </w:p>
    <w:p w14:paraId="19EA46FC" w14:textId="0141D5B8" w:rsidR="00D12163" w:rsidRPr="00FD6D6F" w:rsidRDefault="00D12163">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10CC06C0">
        <w:rPr>
          <w:rFonts w:eastAsia="Lato"/>
        </w:rPr>
        <w:t>In de gevallen dat een licentie voor commercieel gebruik niet mogelijk is, zorg er bij voorkeur minimaal voor dat de opdrachtnemer het voorwerp van de opdracht wel als referentie kan gebruiken voor andere, toekomstige opdrachten – zowel private als publieke opdrachten. De voorwaarden voor het vermelden van de opdracht als referentie worden duidelijk gespecificeerd in de opdrachtdocumenten. De aanbesteder houdt daarbij maximaal rekening met de (economische) belangen van de inschrijvers.</w:t>
      </w:r>
    </w:p>
    <w:p w14:paraId="4BB1EB9E" w14:textId="291AF5E9" w:rsidR="00D12163" w:rsidRPr="001D5027" w:rsidRDefault="00D12163">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1D5027">
        <w:rPr>
          <w:rFonts w:eastAsia="Lato"/>
        </w:rPr>
        <w:t>Zorg er te</w:t>
      </w:r>
      <w:r w:rsidR="00DA06B6">
        <w:rPr>
          <w:rFonts w:eastAsia="Lato"/>
        </w:rPr>
        <w:t>n</w:t>
      </w:r>
      <w:r w:rsidRPr="001D5027">
        <w:rPr>
          <w:rFonts w:eastAsia="Lato"/>
        </w:rPr>
        <w:t xml:space="preserve"> allen tijde voor dat er in de opdrachtdocumenten duidelijkheid wordt geschept over de intellectuele eigendomsrechten (prijsbestanddelen, overdracht, licenties, …). </w:t>
      </w:r>
      <w:r w:rsidR="003F1CAB">
        <w:rPr>
          <w:rFonts w:eastAsia="Lato"/>
        </w:rPr>
        <w:t xml:space="preserve">Vermijd het gebruik van stijlformules en algemeenheden. </w:t>
      </w:r>
    </w:p>
    <w:p w14:paraId="51EAE8BC" w14:textId="09FA4538" w:rsidR="005D4EB7" w:rsidRDefault="005D4EB7">
      <w:pPr>
        <w:pStyle w:val="Kop1"/>
      </w:pPr>
      <w:bookmarkStart w:id="83" w:name="_Toc132703174"/>
      <w:bookmarkStart w:id="84" w:name="_Toc135839961"/>
      <w:bookmarkStart w:id="85" w:name="_Toc150870566"/>
      <w:r>
        <w:lastRenderedPageBreak/>
        <w:t xml:space="preserve">Principe 6 – </w:t>
      </w:r>
      <w:bookmarkEnd w:id="83"/>
      <w:r w:rsidR="00B417F1" w:rsidRPr="00B417F1">
        <w:t>De verdeling in percelen</w:t>
      </w:r>
      <w:bookmarkEnd w:id="84"/>
      <w:bookmarkEnd w:id="85"/>
    </w:p>
    <w:p w14:paraId="2B7807B0" w14:textId="77777777" w:rsidR="00437C23" w:rsidRDefault="00437C23">
      <w:pPr>
        <w:pStyle w:val="Kop2"/>
      </w:pPr>
      <w:bookmarkStart w:id="86" w:name="_Toc135839962"/>
      <w:bookmarkStart w:id="87" w:name="_Toc150870567"/>
      <w:r>
        <w:t>Doelstelling</w:t>
      </w:r>
      <w:bookmarkEnd w:id="86"/>
      <w:bookmarkEnd w:id="87"/>
    </w:p>
    <w:p w14:paraId="3DD572A3" w14:textId="4E8A8D2F" w:rsidR="005C07A5" w:rsidRPr="00367C3B" w:rsidRDefault="00367C3B" w:rsidP="00367C3B">
      <w:r w:rsidRPr="6F2DC8B8">
        <w:t>Een maximale</w:t>
      </w:r>
      <w:r w:rsidR="00D36827">
        <w:t xml:space="preserve"> en kmo-vriendelijke</w:t>
      </w:r>
      <w:r w:rsidRPr="6F2DC8B8">
        <w:t xml:space="preserve"> toepassing van het verdelen van overheidsopdrachten in percelen nastreven opdat </w:t>
      </w:r>
      <w:r w:rsidR="00222969">
        <w:t>overheids</w:t>
      </w:r>
      <w:r w:rsidR="00146F08" w:rsidRPr="6F2DC8B8">
        <w:t xml:space="preserve">opdrachten </w:t>
      </w:r>
      <w:r w:rsidRPr="6F2DC8B8">
        <w:t>toegankelijker worden voor kmo’s</w:t>
      </w:r>
      <w:r w:rsidR="001B1F93">
        <w:t>,</w:t>
      </w:r>
      <w:r w:rsidRPr="6F2DC8B8">
        <w:t xml:space="preserve"> </w:t>
      </w:r>
      <w:r w:rsidR="001B1F93">
        <w:t>é</w:t>
      </w:r>
      <w:r w:rsidRPr="6F2DC8B8">
        <w:t>n telkens de mogelijkheid overwegen om, wanneer mogelijk, het aantal toegekende percelen aan een inschrijver te beperken.</w:t>
      </w:r>
      <w:r w:rsidR="00E05CF4">
        <w:t xml:space="preserve"> In</w:t>
      </w:r>
      <w:r w:rsidR="009E6EC4">
        <w:t xml:space="preserve"> </w:t>
      </w:r>
      <w:r w:rsidR="003D6F3E">
        <w:t>situaties waar</w:t>
      </w:r>
      <w:r w:rsidR="00E05CF4">
        <w:t xml:space="preserve"> een verdeling in percelen niet of minder opportuun is</w:t>
      </w:r>
      <w:r w:rsidR="0075290B">
        <w:t xml:space="preserve">, zoveel als mogelijk </w:t>
      </w:r>
      <w:r w:rsidR="0009741B">
        <w:t xml:space="preserve">alternatieve oplossingen </w:t>
      </w:r>
      <w:r w:rsidR="009E6EC4">
        <w:t xml:space="preserve">in het achterhoofd houden en nastreven. </w:t>
      </w:r>
    </w:p>
    <w:p w14:paraId="3E9162C6" w14:textId="77777777" w:rsidR="00437C23" w:rsidRDefault="00437C23">
      <w:pPr>
        <w:pStyle w:val="Kop2"/>
      </w:pPr>
      <w:bookmarkStart w:id="88" w:name="_Toc135839963"/>
      <w:bookmarkStart w:id="89" w:name="_Toc150870568"/>
      <w:r>
        <w:t>Wat zegt de reglementering overheidsopdrachten?</w:t>
      </w:r>
      <w:bookmarkEnd w:id="88"/>
      <w:bookmarkEnd w:id="89"/>
    </w:p>
    <w:p w14:paraId="4B7786FC" w14:textId="11F24DB6" w:rsidR="009D167F" w:rsidRDefault="009D167F" w:rsidP="009D167F">
      <w:r w:rsidRPr="5FEC7BED">
        <w:t>De regelgeving</w:t>
      </w:r>
      <w:r w:rsidR="00F22FC0">
        <w:t xml:space="preserve">, zie artikel 58 van de wet van </w:t>
      </w:r>
      <w:hyperlink r:id="rId76" w:history="1">
        <w:r w:rsidR="00F22FC0" w:rsidRPr="00DF5D1C">
          <w:rPr>
            <w:rStyle w:val="Hyperlink"/>
          </w:rPr>
          <w:t>17 juni 2016</w:t>
        </w:r>
      </w:hyperlink>
      <w:r w:rsidR="00F22FC0">
        <w:t xml:space="preserve"> en artikels 49-50 van het </w:t>
      </w:r>
      <w:r w:rsidR="0009075B">
        <w:t>KB</w:t>
      </w:r>
      <w:r w:rsidR="003274A7">
        <w:t xml:space="preserve"> Plaatsing</w:t>
      </w:r>
      <w:r w:rsidR="00F22FC0">
        <w:t xml:space="preserve"> van </w:t>
      </w:r>
      <w:hyperlink r:id="rId77" w:history="1">
        <w:r w:rsidR="00F22FC0" w:rsidRPr="00F22FC0">
          <w:rPr>
            <w:rStyle w:val="Hyperlink"/>
          </w:rPr>
          <w:t>18 april 2017</w:t>
        </w:r>
      </w:hyperlink>
      <w:r w:rsidR="00F22FC0">
        <w:t>,</w:t>
      </w:r>
      <w:r w:rsidRPr="5FEC7BED">
        <w:t xml:space="preserve"> voorziet een reeks bepalingen die het mogelijk maken om </w:t>
      </w:r>
      <w:r>
        <w:t>ee</w:t>
      </w:r>
      <w:r w:rsidRPr="5FEC7BED">
        <w:t xml:space="preserve">n opdracht op te delen in percelen en in voorkomend geval de verschillende percelen toe te wijzen aan een of meerdere ondernemers. In dat geval bepaalt de aanbestedende overheid daarvan de aard, de omvang, het voorwerp, de verdeling en de kenmerken in de opdrachtdocumenten. </w:t>
      </w:r>
    </w:p>
    <w:p w14:paraId="43826084" w14:textId="423D2403" w:rsidR="009D167F" w:rsidRPr="001F56CE" w:rsidRDefault="009D167F" w:rsidP="009D167F">
      <w:r w:rsidRPr="5FEC7BED">
        <w:t xml:space="preserve">Het betreft </w:t>
      </w:r>
      <w:r w:rsidR="000E1EF4">
        <w:t>dus</w:t>
      </w:r>
      <w:r w:rsidRPr="5FEC7BED">
        <w:t xml:space="preserve"> een onderverdeling van een opdracht waarbij elk deel of perceel apart kan worden gegund, met het oog op een gescheiden uitvoering. De uitvoering van elk perceel wordt als een afzonderlijke opdracht beschouwd, mede om te voorkomen dat in geval van gunning aan dezelfde ondernemers de termijnen en berekening van eventuele boetes zouden worden samengebracht.</w:t>
      </w:r>
    </w:p>
    <w:p w14:paraId="7BBD822A" w14:textId="2F46093B" w:rsidR="009D167F" w:rsidRPr="001F56CE" w:rsidRDefault="009D167F" w:rsidP="009D167F">
      <w:r w:rsidRPr="578F2A6C">
        <w:t xml:space="preserve">Voor de opdrachten van leveringen, diensten en werken, waarvan de geraamde waarde gelijk is aan of hoger is dan de </w:t>
      </w:r>
      <w:r w:rsidR="00CD7A37" w:rsidRPr="00395D8D">
        <w:t>herzienbare drempel voor de Europese bekendmaking zoals die van toepassing is voor de door de federale aanbestedende overheden geplaatste overheidsopdrachten voor leveringen en diensten</w:t>
      </w:r>
      <w:r w:rsidRPr="578F2A6C">
        <w:t xml:space="preserve">, is de aanbesteder verplicht de verdeling in percelen telkens te </w:t>
      </w:r>
      <w:r w:rsidRPr="00B33B80">
        <w:rPr>
          <w:i/>
          <w:iCs/>
        </w:rPr>
        <w:t>overwegen</w:t>
      </w:r>
      <w:r w:rsidRPr="578F2A6C">
        <w:t xml:space="preserve">. </w:t>
      </w:r>
      <w:r w:rsidR="00B33B80">
        <w:t>Wanneer besloten</w:t>
      </w:r>
      <w:r w:rsidR="00B33B80" w:rsidRPr="578F2A6C">
        <w:t xml:space="preserve"> </w:t>
      </w:r>
      <w:r w:rsidRPr="578F2A6C">
        <w:t xml:space="preserve">wordt </w:t>
      </w:r>
      <w:r w:rsidR="00B33B80">
        <w:t>om</w:t>
      </w:r>
      <w:r w:rsidR="00B33B80" w:rsidRPr="578F2A6C">
        <w:t xml:space="preserve"> </w:t>
      </w:r>
      <w:r w:rsidRPr="578F2A6C">
        <w:t xml:space="preserve">niet in percelen op te delen, worden de voornaamste redenen daarvoor vermeld in de opdrachtdocumenten of in het administratieve dossier. </w:t>
      </w:r>
    </w:p>
    <w:p w14:paraId="303779C6" w14:textId="77777777" w:rsidR="009D167F" w:rsidRPr="001F56CE" w:rsidRDefault="009D167F" w:rsidP="009D167F">
      <w:r w:rsidRPr="001F56CE">
        <w:t>De aanbestedende overheid kan ook</w:t>
      </w:r>
      <w:r>
        <w:t xml:space="preserve"> onder meer</w:t>
      </w:r>
      <w:r w:rsidRPr="001F56CE">
        <w:t>:</w:t>
      </w:r>
    </w:p>
    <w:p w14:paraId="5B4765CA" w14:textId="188CFED0" w:rsidR="009D167F" w:rsidRPr="003D5EFD" w:rsidRDefault="009D167F">
      <w:pPr>
        <w:pStyle w:val="Bullet1"/>
        <w:rPr>
          <w:lang w:val="nl-BE"/>
        </w:rPr>
      </w:pPr>
      <w:r w:rsidRPr="003D5EFD">
        <w:rPr>
          <w:lang w:val="nl-BE"/>
        </w:rPr>
        <w:t>bepalen of offertes mogen worden ingediend voor een, meer of alle percelen;</w:t>
      </w:r>
    </w:p>
    <w:p w14:paraId="5D18CD73" w14:textId="4DB15D3A" w:rsidR="009D167F" w:rsidRPr="003D5EFD" w:rsidRDefault="009D167F">
      <w:pPr>
        <w:pStyle w:val="Bullet1"/>
        <w:rPr>
          <w:lang w:val="nl-BE"/>
        </w:rPr>
      </w:pPr>
      <w:r w:rsidRPr="003D5EFD">
        <w:rPr>
          <w:lang w:val="nl-BE"/>
        </w:rPr>
        <w:t xml:space="preserve">bepalen dat indien er offertes mogen worden ingediend voor meer of alle percelen, het aantal aan één inschrijver te gunnen percelen </w:t>
      </w:r>
      <w:r w:rsidR="008E1C5C" w:rsidRPr="003D5EFD">
        <w:rPr>
          <w:lang w:val="nl-BE"/>
        </w:rPr>
        <w:t xml:space="preserve">beperkt </w:t>
      </w:r>
      <w:r w:rsidRPr="003D5EFD">
        <w:rPr>
          <w:lang w:val="nl-BE"/>
        </w:rPr>
        <w:t>wordt;</w:t>
      </w:r>
    </w:p>
    <w:p w14:paraId="1B8E912B" w14:textId="6A459BC3" w:rsidR="009D167F" w:rsidRPr="003D5EFD" w:rsidRDefault="009D167F">
      <w:pPr>
        <w:pStyle w:val="Bullet1"/>
        <w:rPr>
          <w:lang w:val="nl-BE"/>
        </w:rPr>
      </w:pPr>
      <w:r w:rsidRPr="003D5EFD">
        <w:rPr>
          <w:lang w:val="nl-BE"/>
        </w:rPr>
        <w:t>bepalen om, in geval van een verdeling in percelen, er slechts enkele te gunnen en eventueel te besluiten de andere op te nemen in één of meer nieuwe opdrachten, desnoods volgens een andere procedure;</w:t>
      </w:r>
    </w:p>
    <w:p w14:paraId="4763D0AC" w14:textId="32FD0D31" w:rsidR="009D167F" w:rsidRPr="003D5EFD" w:rsidRDefault="009D167F">
      <w:pPr>
        <w:pStyle w:val="Bullet1"/>
        <w:rPr>
          <w:lang w:val="nl-BE"/>
        </w:rPr>
      </w:pPr>
      <w:r w:rsidRPr="003D5EFD">
        <w:rPr>
          <w:lang w:val="nl-BE"/>
        </w:rPr>
        <w:t>bepalen om de eis van een verplichte minimumjaaromzet voor ondernemers vast te stellen ten aanzien van groepen van percelen in plaats van elk afzonderlijk perceel.</w:t>
      </w:r>
    </w:p>
    <w:p w14:paraId="0458C47E" w14:textId="26F9873F" w:rsidR="005C07A5" w:rsidRDefault="009D167F" w:rsidP="00437C23">
      <w:r w:rsidRPr="68569EE3">
        <w:t>Tot slot is een specifieke regeling uitgewerkt om, voor opdrachten die de Europese publicatiedrempels bereiken, de percelen ervan toch enkel te onderwerpen aan de Belgische bekenmaking mits die percelen bepaalde drempels niet overschrijden. Een dergelijke bepaling maakt het</w:t>
      </w:r>
      <w:r w:rsidR="00D15978">
        <w:t xml:space="preserve"> dus</w:t>
      </w:r>
      <w:r w:rsidRPr="68569EE3">
        <w:t xml:space="preserve"> mogelijk d</w:t>
      </w:r>
      <w:r>
        <w:t>i</w:t>
      </w:r>
      <w:r w:rsidRPr="68569EE3">
        <w:t xml:space="preserve">e percelen met een beperkte waarde enkel op nationaal niveau bekend te maken, daar </w:t>
      </w:r>
      <w:r>
        <w:t>die</w:t>
      </w:r>
      <w:r w:rsidRPr="68569EE3">
        <w:t xml:space="preserve"> immers vooral interessant zijn voor kleine en middelgrote ondernemingen</w:t>
      </w:r>
      <w:r w:rsidRPr="68569EE3">
        <w:rPr>
          <w:rStyle w:val="Voetnootmarkering"/>
          <w:rFonts w:eastAsia="Lato" w:cs="Lato"/>
          <w:color w:val="000000" w:themeColor="text1"/>
        </w:rPr>
        <w:footnoteReference w:id="4"/>
      </w:r>
      <w:r w:rsidRPr="68569EE3">
        <w:t>.</w:t>
      </w:r>
    </w:p>
    <w:p w14:paraId="5A3CD85F" w14:textId="77777777" w:rsidR="00437C23" w:rsidRDefault="00437C23">
      <w:pPr>
        <w:pStyle w:val="Kop2"/>
      </w:pPr>
      <w:bookmarkStart w:id="90" w:name="_Toc135839964"/>
      <w:bookmarkStart w:id="91" w:name="_Toc150870569"/>
      <w:r>
        <w:t>Toelichting</w:t>
      </w:r>
      <w:bookmarkEnd w:id="90"/>
      <w:bookmarkEnd w:id="91"/>
    </w:p>
    <w:p w14:paraId="39F9D98E" w14:textId="77777777" w:rsidR="00802124" w:rsidRPr="00D639DF" w:rsidRDefault="00802124">
      <w:pPr>
        <w:pStyle w:val="Kop3"/>
        <w:rPr>
          <w:rFonts w:eastAsia="Lato"/>
        </w:rPr>
      </w:pPr>
      <w:bookmarkStart w:id="92" w:name="_Toc135839965"/>
      <w:bookmarkStart w:id="93" w:name="_Toc150870570"/>
      <w:r w:rsidRPr="00D639DF">
        <w:rPr>
          <w:rFonts w:eastAsia="Lato"/>
        </w:rPr>
        <w:t>Algemeen</w:t>
      </w:r>
      <w:bookmarkEnd w:id="92"/>
      <w:bookmarkEnd w:id="93"/>
    </w:p>
    <w:p w14:paraId="411BE74B" w14:textId="35090E91" w:rsidR="00802124" w:rsidRPr="001F56CE" w:rsidRDefault="00802124" w:rsidP="00802124">
      <w:pPr>
        <w:rPr>
          <w:rFonts w:eastAsia="Lato" w:cs="Lato"/>
          <w:color w:val="000000" w:themeColor="text1"/>
        </w:rPr>
      </w:pPr>
      <w:r>
        <w:rPr>
          <w:rFonts w:eastAsia="Lato" w:cs="Lato"/>
          <w:color w:val="000000" w:themeColor="text1"/>
        </w:rPr>
        <w:t>De hierboven vermelde</w:t>
      </w:r>
      <w:r w:rsidRPr="6F2DC8B8">
        <w:rPr>
          <w:rFonts w:eastAsia="Lato" w:cs="Lato"/>
          <w:color w:val="000000" w:themeColor="text1"/>
        </w:rPr>
        <w:t xml:space="preserve"> bepalingen zijn er</w:t>
      </w:r>
      <w:r>
        <w:rPr>
          <w:rFonts w:eastAsia="Lato" w:cs="Lato"/>
          <w:color w:val="000000" w:themeColor="text1"/>
        </w:rPr>
        <w:t xml:space="preserve"> </w:t>
      </w:r>
      <w:r w:rsidRPr="6F2DC8B8">
        <w:rPr>
          <w:rFonts w:eastAsia="Lato" w:cs="Lato"/>
          <w:color w:val="000000" w:themeColor="text1"/>
        </w:rPr>
        <w:t xml:space="preserve">op gericht om </w:t>
      </w:r>
      <w:r w:rsidR="00021D00">
        <w:rPr>
          <w:rFonts w:eastAsia="Lato" w:cs="Lato"/>
          <w:color w:val="000000" w:themeColor="text1"/>
        </w:rPr>
        <w:t xml:space="preserve">onder andere </w:t>
      </w:r>
      <w:r w:rsidRPr="6F2DC8B8">
        <w:rPr>
          <w:rFonts w:eastAsia="Lato" w:cs="Lato"/>
          <w:color w:val="000000" w:themeColor="text1"/>
        </w:rPr>
        <w:t>de toegang</w:t>
      </w:r>
      <w:r w:rsidR="00021D00">
        <w:rPr>
          <w:rFonts w:eastAsia="Lato" w:cs="Lato"/>
          <w:color w:val="000000" w:themeColor="text1"/>
        </w:rPr>
        <w:t xml:space="preserve"> van kmo’s</w:t>
      </w:r>
      <w:r w:rsidRPr="6F2DC8B8">
        <w:rPr>
          <w:rFonts w:eastAsia="Lato" w:cs="Lato"/>
          <w:color w:val="000000" w:themeColor="text1"/>
        </w:rPr>
        <w:t xml:space="preserve"> tot overheidsopdrachten te faciliteren en de concurrentie te </w:t>
      </w:r>
      <w:r>
        <w:rPr>
          <w:rFonts w:eastAsia="Lato" w:cs="Lato"/>
          <w:color w:val="000000" w:themeColor="text1"/>
        </w:rPr>
        <w:t>stimuleren</w:t>
      </w:r>
      <w:r w:rsidRPr="6F2DC8B8">
        <w:rPr>
          <w:rFonts w:eastAsia="Lato" w:cs="Lato"/>
          <w:color w:val="000000" w:themeColor="text1"/>
        </w:rPr>
        <w:t xml:space="preserve">. Zo worden de </w:t>
      </w:r>
      <w:r w:rsidR="00BD35A8">
        <w:rPr>
          <w:rFonts w:eastAsia="Lato" w:cs="Lato"/>
          <w:color w:val="000000" w:themeColor="text1"/>
        </w:rPr>
        <w:t xml:space="preserve">aanbesteders </w:t>
      </w:r>
      <w:r w:rsidRPr="6F2DC8B8">
        <w:rPr>
          <w:rFonts w:eastAsia="Lato" w:cs="Lato"/>
          <w:color w:val="000000" w:themeColor="text1"/>
        </w:rPr>
        <w:t>er meer bepaald toe aangezet</w:t>
      </w:r>
      <w:r>
        <w:rPr>
          <w:rFonts w:eastAsia="Lato" w:cs="Lato"/>
          <w:color w:val="000000" w:themeColor="text1"/>
        </w:rPr>
        <w:t xml:space="preserve"> om</w:t>
      </w:r>
      <w:r w:rsidRPr="6F2DC8B8">
        <w:rPr>
          <w:rFonts w:eastAsia="Lato" w:cs="Lato"/>
          <w:color w:val="000000" w:themeColor="text1"/>
        </w:rPr>
        <w:t xml:space="preserve"> opdrachten in percelen te verdelen, in het bijzonder de opdrachten van grotere omvang (gelijk aan of hoger dan </w:t>
      </w:r>
      <w:r w:rsidRPr="00A60696">
        <w:rPr>
          <w:rFonts w:eastAsia="Lato" w:cs="Lato"/>
          <w:color w:val="000000" w:themeColor="text1"/>
        </w:rPr>
        <w:t>de</w:t>
      </w:r>
      <w:r w:rsidR="00C93D42" w:rsidRPr="00A60696">
        <w:rPr>
          <w:rFonts w:eastAsia="Lato" w:cs="Lato"/>
          <w:color w:val="000000" w:themeColor="text1"/>
        </w:rPr>
        <w:t xml:space="preserve"> </w:t>
      </w:r>
      <w:r w:rsidR="00C93D42" w:rsidRPr="008D3B9F">
        <w:rPr>
          <w:rFonts w:eastAsia="Lato" w:cs="Lato"/>
          <w:color w:val="000000" w:themeColor="text1"/>
        </w:rPr>
        <w:t>voornoemde</w:t>
      </w:r>
      <w:r w:rsidRPr="008D3B9F">
        <w:rPr>
          <w:rFonts w:eastAsia="Lato" w:cs="Lato"/>
          <w:color w:val="000000" w:themeColor="text1"/>
        </w:rPr>
        <w:t xml:space="preserve"> </w:t>
      </w:r>
      <w:r w:rsidR="00C769E4" w:rsidRPr="008D3B9F">
        <w:rPr>
          <w:rFonts w:eastAsia="Lato" w:cs="Lato"/>
          <w:color w:val="000000" w:themeColor="text1"/>
        </w:rPr>
        <w:t xml:space="preserve">Europese </w:t>
      </w:r>
      <w:r w:rsidRPr="008D3B9F">
        <w:rPr>
          <w:rFonts w:eastAsia="Lato" w:cs="Lato"/>
          <w:color w:val="000000" w:themeColor="text1"/>
        </w:rPr>
        <w:t>drempel</w:t>
      </w:r>
      <w:r w:rsidRPr="00A60696">
        <w:rPr>
          <w:rFonts w:eastAsia="Lato" w:cs="Lato"/>
          <w:color w:val="000000" w:themeColor="text1"/>
        </w:rPr>
        <w:t>).</w:t>
      </w:r>
      <w:r w:rsidRPr="6F2DC8B8">
        <w:rPr>
          <w:rFonts w:eastAsia="Lato" w:cs="Lato"/>
          <w:color w:val="000000" w:themeColor="text1"/>
        </w:rPr>
        <w:t xml:space="preserve"> Hoewel de wetgever geen verplichting voorziet</w:t>
      </w:r>
      <w:r>
        <w:rPr>
          <w:rFonts w:eastAsia="Lato" w:cs="Lato"/>
          <w:color w:val="000000" w:themeColor="text1"/>
        </w:rPr>
        <w:t xml:space="preserve"> om te verdelen in percelen</w:t>
      </w:r>
      <w:r w:rsidRPr="6F2DC8B8">
        <w:rPr>
          <w:rFonts w:eastAsia="Lato" w:cs="Lato"/>
          <w:color w:val="000000" w:themeColor="text1"/>
        </w:rPr>
        <w:t xml:space="preserve">, moeten </w:t>
      </w:r>
      <w:r w:rsidR="00BC5B31">
        <w:rPr>
          <w:rFonts w:eastAsia="Lato" w:cs="Lato"/>
          <w:color w:val="000000" w:themeColor="text1"/>
        </w:rPr>
        <w:t>aanbesteders</w:t>
      </w:r>
      <w:r w:rsidRPr="6F2DC8B8">
        <w:rPr>
          <w:rFonts w:eastAsia="Lato" w:cs="Lato"/>
          <w:color w:val="000000" w:themeColor="text1"/>
        </w:rPr>
        <w:t xml:space="preserve"> nagaan of een opdeling zinvol is. Indien bij opdrachten </w:t>
      </w:r>
      <w:r w:rsidRPr="00E8176C">
        <w:rPr>
          <w:rFonts w:eastAsia="Lato" w:cs="Lato"/>
          <w:color w:val="000000" w:themeColor="text1"/>
        </w:rPr>
        <w:t xml:space="preserve">boven </w:t>
      </w:r>
      <w:r w:rsidRPr="008D3B9F">
        <w:rPr>
          <w:rFonts w:eastAsia="Lato" w:cs="Lato"/>
          <w:color w:val="000000" w:themeColor="text1"/>
        </w:rPr>
        <w:t>d</w:t>
      </w:r>
      <w:r w:rsidR="004B37D9" w:rsidRPr="008D3B9F">
        <w:rPr>
          <w:rFonts w:eastAsia="Lato" w:cs="Lato"/>
          <w:color w:val="000000" w:themeColor="text1"/>
        </w:rPr>
        <w:t>i</w:t>
      </w:r>
      <w:r w:rsidRPr="008D3B9F">
        <w:rPr>
          <w:rFonts w:eastAsia="Lato" w:cs="Lato"/>
          <w:color w:val="000000" w:themeColor="text1"/>
        </w:rPr>
        <w:t>e</w:t>
      </w:r>
      <w:r w:rsidRPr="00E8176C">
        <w:rPr>
          <w:rFonts w:eastAsia="Lato" w:cs="Lato"/>
          <w:color w:val="000000" w:themeColor="text1"/>
        </w:rPr>
        <w:t xml:space="preserve"> </w:t>
      </w:r>
      <w:r w:rsidR="008662C5" w:rsidRPr="00E8176C">
        <w:rPr>
          <w:rFonts w:eastAsia="Lato" w:cs="Lato"/>
          <w:color w:val="000000" w:themeColor="text1"/>
        </w:rPr>
        <w:t>Europese</w:t>
      </w:r>
      <w:r w:rsidR="008662C5">
        <w:rPr>
          <w:rFonts w:eastAsia="Lato" w:cs="Lato"/>
          <w:color w:val="000000" w:themeColor="text1"/>
        </w:rPr>
        <w:t xml:space="preserve"> </w:t>
      </w:r>
      <w:r w:rsidRPr="6F2DC8B8">
        <w:rPr>
          <w:rFonts w:eastAsia="Lato" w:cs="Lato"/>
          <w:color w:val="000000" w:themeColor="text1"/>
        </w:rPr>
        <w:t xml:space="preserve">drempel voor </w:t>
      </w:r>
      <w:r w:rsidR="008662C5">
        <w:rPr>
          <w:rFonts w:eastAsia="Lato" w:cs="Lato"/>
          <w:color w:val="000000" w:themeColor="text1"/>
        </w:rPr>
        <w:lastRenderedPageBreak/>
        <w:t>leveringen en diensten</w:t>
      </w:r>
      <w:r w:rsidR="008662C5" w:rsidRPr="6F2DC8B8" w:rsidDel="008662C5">
        <w:rPr>
          <w:rFonts w:eastAsia="Lato" w:cs="Lato"/>
          <w:color w:val="000000" w:themeColor="text1"/>
        </w:rPr>
        <w:t xml:space="preserve"> </w:t>
      </w:r>
      <w:r w:rsidRPr="6F2DC8B8">
        <w:rPr>
          <w:rFonts w:eastAsia="Lato" w:cs="Lato"/>
          <w:color w:val="000000" w:themeColor="text1"/>
        </w:rPr>
        <w:t>niet wordt gekozen voor een opdeling in percelen, moeten de voornaamste redenen in de opdrachtdocumenten of in het administratieve dossier worden vermeld.</w:t>
      </w:r>
    </w:p>
    <w:p w14:paraId="6684EDC7" w14:textId="34483DA4" w:rsidR="00802124" w:rsidRPr="001F56CE" w:rsidRDefault="00802124" w:rsidP="00802124">
      <w:pPr>
        <w:rPr>
          <w:rFonts w:eastAsia="Lato" w:cs="Lato"/>
          <w:color w:val="000000" w:themeColor="text1"/>
        </w:rPr>
      </w:pPr>
      <w:r w:rsidRPr="6F2DC8B8">
        <w:rPr>
          <w:rFonts w:eastAsia="Lato" w:cs="Lato"/>
          <w:color w:val="000000" w:themeColor="text1"/>
        </w:rPr>
        <w:t xml:space="preserve">Die redenen moeten relevant zijn, bijvoorbeeld </w:t>
      </w:r>
      <w:r>
        <w:rPr>
          <w:rFonts w:eastAsia="Lato" w:cs="Lato"/>
          <w:color w:val="000000" w:themeColor="text1"/>
        </w:rPr>
        <w:t>om</w:t>
      </w:r>
      <w:r w:rsidRPr="6F2DC8B8">
        <w:rPr>
          <w:rFonts w:eastAsia="Lato" w:cs="Lato"/>
          <w:color w:val="000000" w:themeColor="text1"/>
        </w:rPr>
        <w:t xml:space="preserve">dat volgens de </w:t>
      </w:r>
      <w:r w:rsidR="00F84EA7">
        <w:rPr>
          <w:rFonts w:eastAsia="Lato" w:cs="Lato"/>
          <w:color w:val="000000" w:themeColor="text1"/>
        </w:rPr>
        <w:t>aanbesteder</w:t>
      </w:r>
      <w:r w:rsidRPr="6F2DC8B8">
        <w:rPr>
          <w:rFonts w:eastAsia="Lato" w:cs="Lato"/>
          <w:color w:val="000000" w:themeColor="text1"/>
        </w:rPr>
        <w:t xml:space="preserve"> de verdeling </w:t>
      </w:r>
      <w:r>
        <w:rPr>
          <w:rFonts w:eastAsia="Lato" w:cs="Lato"/>
          <w:color w:val="000000" w:themeColor="text1"/>
        </w:rPr>
        <w:t xml:space="preserve">in percelen </w:t>
      </w:r>
      <w:r w:rsidRPr="6F2DC8B8">
        <w:rPr>
          <w:rFonts w:eastAsia="Lato" w:cs="Lato"/>
          <w:color w:val="000000" w:themeColor="text1"/>
        </w:rPr>
        <w:t xml:space="preserve">de mededinging dreigt te beperken, of </w:t>
      </w:r>
      <w:r>
        <w:rPr>
          <w:rFonts w:eastAsia="Lato" w:cs="Lato"/>
          <w:color w:val="000000" w:themeColor="text1"/>
        </w:rPr>
        <w:t>om</w:t>
      </w:r>
      <w:r w:rsidRPr="6F2DC8B8">
        <w:rPr>
          <w:rFonts w:eastAsia="Lato" w:cs="Lato"/>
          <w:color w:val="000000" w:themeColor="text1"/>
        </w:rPr>
        <w:t xml:space="preserve">dat de uitvoering van de opdracht technisch uitzonderlijk moeilijk en duur dreigt te worden, of </w:t>
      </w:r>
      <w:r>
        <w:rPr>
          <w:rFonts w:eastAsia="Lato" w:cs="Lato"/>
          <w:color w:val="000000" w:themeColor="text1"/>
        </w:rPr>
        <w:t>om</w:t>
      </w:r>
      <w:r w:rsidRPr="6F2DC8B8">
        <w:rPr>
          <w:rFonts w:eastAsia="Lato" w:cs="Lato"/>
          <w:color w:val="000000" w:themeColor="text1"/>
        </w:rPr>
        <w:t xml:space="preserve">dat de noodzaak tot coördinatie tussen de verschillende opdrachtnemers voor de percelen de goede uitvoering ernstig dreigt te ondermijnen. </w:t>
      </w:r>
      <w:r w:rsidRPr="00587809">
        <w:rPr>
          <w:rFonts w:eastAsia="Lato" w:cs="Lato"/>
          <w:b/>
          <w:bCs/>
          <w:color w:val="000000" w:themeColor="text1"/>
        </w:rPr>
        <w:t xml:space="preserve">Die voorbeelden </w:t>
      </w:r>
      <w:r w:rsidR="00B74E03">
        <w:rPr>
          <w:rFonts w:eastAsia="Lato" w:cs="Lato"/>
          <w:b/>
          <w:bCs/>
          <w:color w:val="000000" w:themeColor="text1"/>
        </w:rPr>
        <w:t>mogen</w:t>
      </w:r>
      <w:r w:rsidR="00BC1DAC">
        <w:rPr>
          <w:rFonts w:eastAsia="Lato" w:cs="Lato"/>
          <w:b/>
          <w:bCs/>
          <w:color w:val="000000" w:themeColor="text1"/>
        </w:rPr>
        <w:t xml:space="preserve"> evenwel</w:t>
      </w:r>
      <w:r w:rsidR="00B74E03" w:rsidRPr="00587809">
        <w:rPr>
          <w:rFonts w:eastAsia="Lato" w:cs="Lato"/>
          <w:b/>
          <w:bCs/>
          <w:color w:val="000000" w:themeColor="text1"/>
        </w:rPr>
        <w:t xml:space="preserve"> </w:t>
      </w:r>
      <w:r w:rsidRPr="00587809">
        <w:rPr>
          <w:rFonts w:eastAsia="Lato" w:cs="Lato"/>
          <w:b/>
          <w:bCs/>
          <w:color w:val="000000" w:themeColor="text1"/>
        </w:rPr>
        <w:t xml:space="preserve">niet </w:t>
      </w:r>
      <w:r w:rsidR="00ED267F">
        <w:rPr>
          <w:rFonts w:eastAsia="Lato" w:cs="Lato"/>
          <w:b/>
          <w:bCs/>
          <w:color w:val="000000" w:themeColor="text1"/>
        </w:rPr>
        <w:t xml:space="preserve">in de opdrachtdocumenten </w:t>
      </w:r>
      <w:r w:rsidRPr="00587809">
        <w:rPr>
          <w:rFonts w:eastAsia="Lato" w:cs="Lato"/>
          <w:b/>
          <w:bCs/>
          <w:color w:val="000000" w:themeColor="text1"/>
        </w:rPr>
        <w:t>als standaardclausules worden opgenomen; de redenen moeten</w:t>
      </w:r>
      <w:r w:rsidR="00723666">
        <w:rPr>
          <w:rFonts w:eastAsia="Lato" w:cs="Lato"/>
          <w:b/>
          <w:bCs/>
          <w:color w:val="000000" w:themeColor="text1"/>
        </w:rPr>
        <w:t xml:space="preserve"> immers</w:t>
      </w:r>
      <w:r w:rsidRPr="00587809">
        <w:rPr>
          <w:rFonts w:eastAsia="Lato" w:cs="Lato"/>
          <w:b/>
          <w:bCs/>
          <w:color w:val="000000" w:themeColor="text1"/>
        </w:rPr>
        <w:t xml:space="preserve"> steunen op feitelijke elementen van toepassing op de betrokken opdracht</w:t>
      </w:r>
      <w:r w:rsidRPr="009F4546">
        <w:rPr>
          <w:rFonts w:eastAsia="Lato" w:cs="Lato"/>
          <w:b/>
          <w:bCs/>
          <w:color w:val="000000" w:themeColor="text1"/>
        </w:rPr>
        <w:t>.</w:t>
      </w:r>
      <w:r w:rsidRPr="6F2DC8B8">
        <w:rPr>
          <w:rFonts w:eastAsia="Lato" w:cs="Lato"/>
          <w:color w:val="000000" w:themeColor="text1"/>
        </w:rPr>
        <w:t xml:space="preserve"> </w:t>
      </w:r>
    </w:p>
    <w:p w14:paraId="14A2DAB7" w14:textId="3C4F4C9E" w:rsidR="00802124" w:rsidRPr="001F56CE" w:rsidRDefault="00802124" w:rsidP="00802124">
      <w:pPr>
        <w:rPr>
          <w:rFonts w:eastAsia="Lato" w:cs="Lato"/>
          <w:color w:val="000000" w:themeColor="text1"/>
        </w:rPr>
      </w:pPr>
      <w:r w:rsidRPr="6F2DC8B8">
        <w:rPr>
          <w:rFonts w:eastAsia="Lato" w:cs="Lato"/>
          <w:color w:val="000000" w:themeColor="text1"/>
        </w:rPr>
        <w:t xml:space="preserve">Voor opdrachten beneden </w:t>
      </w:r>
      <w:r w:rsidRPr="008D3B9F">
        <w:rPr>
          <w:rFonts w:eastAsia="Lato" w:cs="Lato"/>
          <w:color w:val="000000" w:themeColor="text1"/>
        </w:rPr>
        <w:t>d</w:t>
      </w:r>
      <w:r w:rsidR="004B37D9" w:rsidRPr="008D3B9F">
        <w:rPr>
          <w:rFonts w:eastAsia="Lato" w:cs="Lato"/>
          <w:color w:val="000000" w:themeColor="text1"/>
        </w:rPr>
        <w:t>i</w:t>
      </w:r>
      <w:r w:rsidRPr="008D3B9F">
        <w:rPr>
          <w:rFonts w:eastAsia="Lato" w:cs="Lato"/>
          <w:color w:val="000000" w:themeColor="text1"/>
        </w:rPr>
        <w:t>e</w:t>
      </w:r>
      <w:r w:rsidRPr="6F2DC8B8">
        <w:rPr>
          <w:rFonts w:eastAsia="Lato" w:cs="Lato"/>
          <w:color w:val="000000" w:themeColor="text1"/>
        </w:rPr>
        <w:t xml:space="preserve"> </w:t>
      </w:r>
      <w:r w:rsidR="00723666">
        <w:rPr>
          <w:rFonts w:eastAsia="Lato" w:cs="Lato"/>
          <w:color w:val="000000" w:themeColor="text1"/>
        </w:rPr>
        <w:t>Europese bekendmakings</w:t>
      </w:r>
      <w:r w:rsidRPr="6F2DC8B8">
        <w:rPr>
          <w:rFonts w:eastAsia="Lato" w:cs="Lato"/>
          <w:color w:val="000000" w:themeColor="text1"/>
        </w:rPr>
        <w:t xml:space="preserve">drempel kan eveneens worden overwogen en beslist </w:t>
      </w:r>
      <w:r>
        <w:rPr>
          <w:rFonts w:eastAsia="Lato" w:cs="Lato"/>
          <w:color w:val="000000" w:themeColor="text1"/>
        </w:rPr>
        <w:t xml:space="preserve">om </w:t>
      </w:r>
      <w:r w:rsidRPr="6F2DC8B8">
        <w:rPr>
          <w:rFonts w:eastAsia="Lato" w:cs="Lato"/>
          <w:color w:val="000000" w:themeColor="text1"/>
        </w:rPr>
        <w:t xml:space="preserve">de opdracht op te delen in percelen. Evenwel moet hierbij rekening worden gehouden met mogelijke contraproductieve neveneffecten die </w:t>
      </w:r>
      <w:r>
        <w:rPr>
          <w:rFonts w:eastAsia="Lato" w:cs="Lato"/>
          <w:color w:val="000000" w:themeColor="text1"/>
        </w:rPr>
        <w:t xml:space="preserve">een </w:t>
      </w:r>
      <w:r w:rsidRPr="6F2DC8B8">
        <w:rPr>
          <w:rFonts w:eastAsia="Lato" w:cs="Lato"/>
          <w:color w:val="000000" w:themeColor="text1"/>
        </w:rPr>
        <w:t xml:space="preserve">dergelijke opdeling zou kunnen teweegbrengen, met name disproportionele administratieve lasten en kosten voor </w:t>
      </w:r>
      <w:r>
        <w:rPr>
          <w:rFonts w:eastAsia="Lato" w:cs="Lato"/>
          <w:color w:val="000000" w:themeColor="text1"/>
        </w:rPr>
        <w:t>zowel aanbesteder als</w:t>
      </w:r>
      <w:r w:rsidRPr="6F2DC8B8">
        <w:rPr>
          <w:rFonts w:eastAsia="Lato" w:cs="Lato"/>
          <w:color w:val="000000" w:themeColor="text1"/>
        </w:rPr>
        <w:t xml:space="preserve"> ondernemer.</w:t>
      </w:r>
    </w:p>
    <w:p w14:paraId="044B13EF" w14:textId="1E06829D" w:rsidR="00B91839" w:rsidRDefault="00802124" w:rsidP="00437C23">
      <w:pPr>
        <w:rPr>
          <w:rFonts w:eastAsia="Lato" w:cs="Lato"/>
          <w:color w:val="000000" w:themeColor="text1"/>
        </w:rPr>
      </w:pPr>
      <w:r w:rsidRPr="00566BAE">
        <w:rPr>
          <w:rFonts w:eastAsia="Lato" w:cs="Lato"/>
          <w:b/>
          <w:bCs/>
          <w:color w:val="0070C0"/>
        </w:rPr>
        <w:t xml:space="preserve">Via de richtlijnen en instructies van dit charter wordt van de aanbesteder vereist dat de verdeling in percelen als </w:t>
      </w:r>
      <w:r w:rsidRPr="008237FD">
        <w:rPr>
          <w:rFonts w:eastAsia="Lato" w:cs="Lato"/>
          <w:b/>
          <w:bCs/>
          <w:color w:val="0070C0"/>
        </w:rPr>
        <w:t>leidend principe</w:t>
      </w:r>
      <w:r w:rsidRPr="00566BAE">
        <w:rPr>
          <w:rFonts w:eastAsia="Lato" w:cs="Lato"/>
          <w:b/>
          <w:bCs/>
          <w:color w:val="0070C0"/>
        </w:rPr>
        <w:t xml:space="preserve"> gehanteerd wordt en dat zowel voor opdrachten boven als onder </w:t>
      </w:r>
      <w:r w:rsidRPr="008D3B9F">
        <w:rPr>
          <w:rFonts w:eastAsia="Lato" w:cs="Lato"/>
          <w:b/>
          <w:bCs/>
          <w:color w:val="0070C0"/>
        </w:rPr>
        <w:t>d</w:t>
      </w:r>
      <w:r w:rsidR="001273A7" w:rsidRPr="008D3B9F">
        <w:rPr>
          <w:rFonts w:eastAsia="Lato" w:cs="Lato"/>
          <w:b/>
          <w:bCs/>
          <w:color w:val="0070C0"/>
        </w:rPr>
        <w:t>i</w:t>
      </w:r>
      <w:r w:rsidRPr="008D3B9F">
        <w:rPr>
          <w:rFonts w:eastAsia="Lato" w:cs="Lato"/>
          <w:b/>
          <w:bCs/>
          <w:color w:val="0070C0"/>
        </w:rPr>
        <w:t>e Europese drempel</w:t>
      </w:r>
      <w:r w:rsidRPr="00C1655A">
        <w:rPr>
          <w:rFonts w:eastAsia="Lato" w:cs="Lato"/>
          <w:b/>
          <w:bCs/>
          <w:color w:val="0070C0"/>
        </w:rPr>
        <w:t>.</w:t>
      </w:r>
      <w:r w:rsidR="00C32431">
        <w:rPr>
          <w:rFonts w:eastAsia="Lato" w:cs="Lato"/>
          <w:color w:val="000000" w:themeColor="text1"/>
        </w:rPr>
        <w:t xml:space="preserve"> </w:t>
      </w:r>
      <w:r w:rsidR="00C32431" w:rsidRPr="008237FD">
        <w:rPr>
          <w:rFonts w:eastAsia="Lato" w:cs="Lato"/>
          <w:b/>
          <w:bCs/>
          <w:color w:val="000000" w:themeColor="text1"/>
        </w:rPr>
        <w:t>Met andere woorden: d</w:t>
      </w:r>
      <w:r w:rsidR="008C38DB" w:rsidRPr="008237FD">
        <w:rPr>
          <w:rFonts w:eastAsia="Lato" w:cs="Lato"/>
          <w:b/>
          <w:bCs/>
          <w:color w:val="000000" w:themeColor="text1"/>
        </w:rPr>
        <w:t xml:space="preserve">e aanbesteder moet zowel boven als </w:t>
      </w:r>
      <w:r w:rsidR="008C38DB" w:rsidRPr="00C12D73">
        <w:rPr>
          <w:rFonts w:eastAsia="Lato" w:cs="Lato"/>
          <w:b/>
          <w:bCs/>
          <w:color w:val="000000" w:themeColor="text1"/>
        </w:rPr>
        <w:t xml:space="preserve">onder </w:t>
      </w:r>
      <w:r w:rsidR="008C38DB" w:rsidRPr="008D3B9F">
        <w:rPr>
          <w:rFonts w:eastAsia="Lato" w:cs="Lato"/>
          <w:b/>
          <w:bCs/>
          <w:color w:val="000000" w:themeColor="text1"/>
        </w:rPr>
        <w:t>d</w:t>
      </w:r>
      <w:r w:rsidR="001273A7" w:rsidRPr="008D3B9F">
        <w:rPr>
          <w:rFonts w:eastAsia="Lato" w:cs="Lato"/>
          <w:b/>
          <w:bCs/>
          <w:color w:val="000000" w:themeColor="text1"/>
        </w:rPr>
        <w:t>i</w:t>
      </w:r>
      <w:r w:rsidR="008C38DB" w:rsidRPr="008D3B9F">
        <w:rPr>
          <w:rFonts w:eastAsia="Lato" w:cs="Lato"/>
          <w:b/>
          <w:bCs/>
          <w:color w:val="000000" w:themeColor="text1"/>
        </w:rPr>
        <w:t>e</w:t>
      </w:r>
      <w:r w:rsidR="008C38DB" w:rsidRPr="00C12D73">
        <w:rPr>
          <w:rFonts w:eastAsia="Lato" w:cs="Lato"/>
          <w:b/>
          <w:bCs/>
          <w:color w:val="000000" w:themeColor="text1"/>
        </w:rPr>
        <w:t xml:space="preserve"> Europese drempel een verdeling in percelen overwegen</w:t>
      </w:r>
      <w:r w:rsidR="008237FD" w:rsidRPr="00C12D73">
        <w:rPr>
          <w:rFonts w:eastAsia="Lato" w:cs="Lato"/>
          <w:b/>
          <w:bCs/>
          <w:color w:val="000000" w:themeColor="text1"/>
        </w:rPr>
        <w:t>, inclusief motivatie.</w:t>
      </w:r>
      <w:r w:rsidR="002E1EC2" w:rsidRPr="00C12D73">
        <w:rPr>
          <w:rFonts w:eastAsia="Lato" w:cs="Lato"/>
          <w:color w:val="000000" w:themeColor="text1"/>
        </w:rPr>
        <w:t xml:space="preserve"> Het</w:t>
      </w:r>
      <w:r w:rsidR="002D41F9" w:rsidRPr="00C12D73">
        <w:rPr>
          <w:rFonts w:eastAsia="Lato" w:cs="Lato"/>
          <w:color w:val="000000" w:themeColor="text1"/>
        </w:rPr>
        <w:t xml:space="preserve"> reflecteren</w:t>
      </w:r>
      <w:r w:rsidR="002D41F9">
        <w:rPr>
          <w:rFonts w:eastAsia="Lato" w:cs="Lato"/>
          <w:color w:val="000000" w:themeColor="text1"/>
        </w:rPr>
        <w:t xml:space="preserve"> over een verdeling in percelen moet de standaard worden voor de aanbesteder, een basisreflex als het ware.</w:t>
      </w:r>
      <w:r w:rsidRPr="000B72B1">
        <w:rPr>
          <w:rFonts w:eastAsia="Lato" w:cs="Lato"/>
          <w:color w:val="000000" w:themeColor="text1"/>
        </w:rPr>
        <w:t xml:space="preserve"> </w:t>
      </w:r>
    </w:p>
    <w:p w14:paraId="6AC67451" w14:textId="6CC608C3" w:rsidR="005C07A5" w:rsidRDefault="00802124" w:rsidP="00437C23">
      <w:pPr>
        <w:rPr>
          <w:rFonts w:eastAsia="Lato" w:cs="Lato"/>
          <w:color w:val="000000" w:themeColor="text1"/>
        </w:rPr>
      </w:pPr>
      <w:r w:rsidRPr="00B91839">
        <w:rPr>
          <w:rFonts w:eastAsia="Lato" w:cs="Lato"/>
          <w:b/>
          <w:bCs/>
          <w:color w:val="000000" w:themeColor="text1"/>
        </w:rPr>
        <w:t>Daarnaast</w:t>
      </w:r>
      <w:r w:rsidRPr="000B72B1">
        <w:rPr>
          <w:rFonts w:eastAsia="Lato" w:cs="Lato"/>
          <w:color w:val="000000" w:themeColor="text1"/>
        </w:rPr>
        <w:t xml:space="preserve"> mag de aanbesteder zich niet beperken tot het opgeven van de voornaamste redenen bij een niet-verdeling in percelen, maar </w:t>
      </w:r>
      <w:r w:rsidRPr="00B91839">
        <w:rPr>
          <w:rFonts w:eastAsia="Lato" w:cs="Lato"/>
          <w:b/>
          <w:bCs/>
          <w:color w:val="000000" w:themeColor="text1"/>
        </w:rPr>
        <w:t>moeten de feitelijke redenen vermeld worden</w:t>
      </w:r>
      <w:r w:rsidRPr="000B72B1">
        <w:rPr>
          <w:rFonts w:eastAsia="Lato" w:cs="Lato"/>
          <w:color w:val="000000" w:themeColor="text1"/>
        </w:rPr>
        <w:t>, en dat bij voorkeur in de opdrachtdocumenten</w:t>
      </w:r>
      <w:r w:rsidRPr="4C4C29DD">
        <w:rPr>
          <w:rFonts w:eastAsia="Lato" w:cs="Lato"/>
          <w:color w:val="000000" w:themeColor="text1"/>
        </w:rPr>
        <w:t>.</w:t>
      </w:r>
    </w:p>
    <w:p w14:paraId="6371B2CD" w14:textId="75A556AB" w:rsidR="001A55A2" w:rsidRDefault="00B42940" w:rsidP="00437C23">
      <w:pPr>
        <w:rPr>
          <w:rFonts w:eastAsia="Lato" w:cs="Lato"/>
          <w:color w:val="000000" w:themeColor="text1"/>
        </w:rPr>
      </w:pPr>
      <w:r w:rsidRPr="008E06F9">
        <w:rPr>
          <w:rFonts w:eastAsia="Lato" w:cs="Lato"/>
          <w:b/>
          <w:bCs/>
          <w:color w:val="0070C0"/>
        </w:rPr>
        <w:t>Bovendien</w:t>
      </w:r>
      <w:r w:rsidR="002B7B08" w:rsidRPr="008E06F9">
        <w:rPr>
          <w:rFonts w:eastAsia="Lato" w:cs="Lato"/>
          <w:b/>
          <w:bCs/>
          <w:color w:val="0070C0"/>
        </w:rPr>
        <w:t xml:space="preserve"> wordt</w:t>
      </w:r>
      <w:r w:rsidRPr="008E06F9">
        <w:rPr>
          <w:rFonts w:eastAsia="Lato" w:cs="Lato"/>
          <w:b/>
          <w:bCs/>
          <w:color w:val="0070C0"/>
        </w:rPr>
        <w:t xml:space="preserve"> </w:t>
      </w:r>
      <w:r w:rsidR="002B7B08" w:rsidRPr="008E06F9">
        <w:rPr>
          <w:rFonts w:eastAsia="Lato" w:cs="Lato"/>
          <w:b/>
          <w:bCs/>
          <w:color w:val="0070C0"/>
        </w:rPr>
        <w:t>via dit charter een nieuwe</w:t>
      </w:r>
      <w:r w:rsidR="00255CB0">
        <w:rPr>
          <w:rFonts w:eastAsia="Lato" w:cs="Lato"/>
          <w:b/>
          <w:bCs/>
          <w:color w:val="0070C0"/>
        </w:rPr>
        <w:t>, bijkomende</w:t>
      </w:r>
      <w:r w:rsidR="002B7B08" w:rsidRPr="008E06F9">
        <w:rPr>
          <w:rFonts w:eastAsia="Lato" w:cs="Lato"/>
          <w:b/>
          <w:bCs/>
          <w:color w:val="0070C0"/>
        </w:rPr>
        <w:t xml:space="preserve"> motiveringsplicht ingevoerd voor de aanbesteder. Namelijk</w:t>
      </w:r>
      <w:r w:rsidR="00EA1F40" w:rsidRPr="008E06F9">
        <w:rPr>
          <w:rFonts w:eastAsia="Lato" w:cs="Lato"/>
          <w:b/>
          <w:bCs/>
          <w:color w:val="0070C0"/>
        </w:rPr>
        <w:t>;</w:t>
      </w:r>
      <w:r w:rsidR="002B7B08" w:rsidRPr="008E06F9">
        <w:rPr>
          <w:rFonts w:eastAsia="Lato" w:cs="Lato"/>
          <w:b/>
          <w:bCs/>
          <w:color w:val="0070C0"/>
        </w:rPr>
        <w:t xml:space="preserve"> wanneer een adviesaanvraag aan de Inspectie van Financiën (IF) vereist is</w:t>
      </w:r>
      <w:r w:rsidR="002B7B08" w:rsidRPr="002B7B08">
        <w:rPr>
          <w:rFonts w:eastAsia="Lato" w:cs="Lato"/>
          <w:color w:val="000000" w:themeColor="text1"/>
        </w:rPr>
        <w:t xml:space="preserve">, zie artikel 19 van het KB van </w:t>
      </w:r>
      <w:hyperlink r:id="rId78" w:anchor="Art.19" w:history="1">
        <w:r w:rsidR="002B7B08" w:rsidRPr="00F36FF9">
          <w:rPr>
            <w:rStyle w:val="Hyperlink"/>
            <w:rFonts w:eastAsia="Lato" w:cs="Lato"/>
          </w:rPr>
          <w:t>2</w:t>
        </w:r>
        <w:r w:rsidR="005451D0">
          <w:rPr>
            <w:rStyle w:val="Hyperlink"/>
            <w:rFonts w:eastAsia="Lato" w:cs="Lato"/>
          </w:rPr>
          <w:t>0</w:t>
        </w:r>
        <w:r w:rsidR="002B7B08" w:rsidRPr="00F36FF9">
          <w:rPr>
            <w:rStyle w:val="Hyperlink"/>
            <w:rFonts w:eastAsia="Lato" w:cs="Lato"/>
          </w:rPr>
          <w:t xml:space="preserve"> mei 2022</w:t>
        </w:r>
      </w:hyperlink>
      <w:r w:rsidR="002B7B08" w:rsidRPr="002B7B08">
        <w:rPr>
          <w:rFonts w:eastAsia="Lato" w:cs="Lato"/>
          <w:color w:val="000000" w:themeColor="text1"/>
        </w:rPr>
        <w:t xml:space="preserve"> betreffende de administratieve, begrotings- en beheerscontrole, en de eigen interne richtlijnen die mogelijks verder gaan, </w:t>
      </w:r>
      <w:r w:rsidR="002B7B08" w:rsidRPr="008E06F9">
        <w:rPr>
          <w:rFonts w:eastAsia="Lato" w:cs="Lato"/>
          <w:b/>
          <w:bCs/>
          <w:color w:val="0070C0"/>
        </w:rPr>
        <w:t>dan motiveert de aanbesteder in dit advies waarom er al dan niet verdeeld is in percelen</w:t>
      </w:r>
      <w:r w:rsidR="002B7B08" w:rsidRPr="000C64CF">
        <w:rPr>
          <w:rFonts w:eastAsia="Lato" w:cs="Lato"/>
          <w:b/>
          <w:bCs/>
          <w:color w:val="0070C0"/>
        </w:rPr>
        <w:t>.</w:t>
      </w:r>
      <w:r w:rsidR="002B7B08" w:rsidRPr="002B7B08">
        <w:rPr>
          <w:rFonts w:eastAsia="Lato" w:cs="Lato"/>
          <w:color w:val="000000" w:themeColor="text1"/>
        </w:rPr>
        <w:t xml:space="preserve"> Die motivatie omvat de feitelijke </w:t>
      </w:r>
      <w:r w:rsidR="002B7B08" w:rsidRPr="002153BD">
        <w:rPr>
          <w:rFonts w:eastAsia="Lato" w:cs="Lato"/>
          <w:color w:val="000000" w:themeColor="text1"/>
        </w:rPr>
        <w:t>reden</w:t>
      </w:r>
      <w:r w:rsidR="00530C0D" w:rsidRPr="002153BD">
        <w:rPr>
          <w:rFonts w:eastAsia="Lato" w:cs="Lato"/>
          <w:color w:val="000000" w:themeColor="text1"/>
        </w:rPr>
        <w:t>en</w:t>
      </w:r>
      <w:r w:rsidR="002B7B08" w:rsidRPr="002153BD">
        <w:rPr>
          <w:rFonts w:eastAsia="Lato" w:cs="Lato"/>
          <w:color w:val="000000" w:themeColor="text1"/>
        </w:rPr>
        <w:t xml:space="preserve"> van toepassing op de desbetreffende opdracht over waarom er al dan niet verdeeld is in percelen. De motiveringsplicht geldt voor alle opdrachten die een adviesaanvraag aan de IF </w:t>
      </w:r>
      <w:r w:rsidR="006312CA" w:rsidRPr="002153BD">
        <w:rPr>
          <w:rFonts w:eastAsia="Lato" w:cs="Lato"/>
          <w:color w:val="000000" w:themeColor="text1"/>
        </w:rPr>
        <w:t>vereisen</w:t>
      </w:r>
      <w:r w:rsidR="002B7B08" w:rsidRPr="002B7B08">
        <w:rPr>
          <w:rFonts w:eastAsia="Lato" w:cs="Lato"/>
          <w:color w:val="000000" w:themeColor="text1"/>
        </w:rPr>
        <w:t>.</w:t>
      </w:r>
    </w:p>
    <w:p w14:paraId="49EDB859" w14:textId="7E49B03C" w:rsidR="000B601C" w:rsidRDefault="000B601C" w:rsidP="00437C23">
      <w:pPr>
        <w:rPr>
          <w:rFonts w:eastAsia="Lato" w:cs="Lato"/>
          <w:color w:val="000000" w:themeColor="text1"/>
        </w:rPr>
      </w:pPr>
      <w:r w:rsidRPr="000B601C">
        <w:rPr>
          <w:rFonts w:eastAsia="Lato" w:cs="Lato"/>
          <w:color w:val="000000" w:themeColor="text1"/>
        </w:rPr>
        <w:t>De aanbesteder wordt eraan herinnerd dat het kiezen van een bepaalde methode voor de berekening van de geraamde waarde van een opdracht, of het opsplitsen van opdrachten</w:t>
      </w:r>
      <w:r w:rsidR="00FA3320">
        <w:rPr>
          <w:rStyle w:val="Voetnootmarkering"/>
          <w:rFonts w:eastAsia="Lato" w:cs="Lato"/>
          <w:color w:val="000000" w:themeColor="text1"/>
        </w:rPr>
        <w:footnoteReference w:id="5"/>
      </w:r>
      <w:r w:rsidRPr="000B601C">
        <w:rPr>
          <w:rFonts w:eastAsia="Lato" w:cs="Lato"/>
          <w:color w:val="000000" w:themeColor="text1"/>
        </w:rPr>
        <w:t xml:space="preserve">, om zich aan bepaalde regels te onttrekken, bijvoorbeeld de bekendmakingsregels (artikel 7, §3 van het Plaatsing), </w:t>
      </w:r>
      <w:r w:rsidR="00F52539">
        <w:rPr>
          <w:rFonts w:eastAsia="Lato" w:cs="Lato"/>
          <w:color w:val="000000" w:themeColor="text1"/>
        </w:rPr>
        <w:t>verboden is</w:t>
      </w:r>
      <w:r w:rsidRPr="000B601C">
        <w:rPr>
          <w:rFonts w:eastAsia="Lato" w:cs="Lato"/>
          <w:color w:val="000000" w:themeColor="text1"/>
        </w:rPr>
        <w:t xml:space="preserve">. Dat </w:t>
      </w:r>
      <w:r w:rsidR="00B26FF2">
        <w:rPr>
          <w:rFonts w:eastAsia="Lato" w:cs="Lato"/>
          <w:color w:val="000000" w:themeColor="text1"/>
        </w:rPr>
        <w:t>verbod is vanzelfsprekend</w:t>
      </w:r>
      <w:r w:rsidRPr="000B601C">
        <w:rPr>
          <w:rFonts w:eastAsia="Lato" w:cs="Lato"/>
          <w:color w:val="000000" w:themeColor="text1"/>
        </w:rPr>
        <w:t xml:space="preserve"> eveneens </w:t>
      </w:r>
      <w:r w:rsidR="00B26FF2">
        <w:rPr>
          <w:rFonts w:eastAsia="Lato" w:cs="Lato"/>
          <w:color w:val="000000" w:themeColor="text1"/>
        </w:rPr>
        <w:t>van toepassing op</w:t>
      </w:r>
      <w:r w:rsidRPr="000B601C">
        <w:rPr>
          <w:rFonts w:eastAsia="Lato" w:cs="Lato"/>
          <w:color w:val="000000" w:themeColor="text1"/>
        </w:rPr>
        <w:t xml:space="preserve"> bovenstaande </w:t>
      </w:r>
      <w:r w:rsidR="002F28F5">
        <w:rPr>
          <w:rFonts w:eastAsia="Lato" w:cs="Lato"/>
          <w:color w:val="000000" w:themeColor="text1"/>
        </w:rPr>
        <w:t>instructies</w:t>
      </w:r>
      <w:r w:rsidRPr="000B601C">
        <w:rPr>
          <w:rFonts w:eastAsia="Lato" w:cs="Lato"/>
          <w:color w:val="000000" w:themeColor="text1"/>
        </w:rPr>
        <w:t xml:space="preserve"> inzake “</w:t>
      </w:r>
      <w:r w:rsidR="002F28F5">
        <w:rPr>
          <w:rFonts w:eastAsia="Lato" w:cs="Lato"/>
          <w:color w:val="000000" w:themeColor="text1"/>
        </w:rPr>
        <w:t xml:space="preserve">de verdeling in percelen als </w:t>
      </w:r>
      <w:r w:rsidRPr="000B601C">
        <w:rPr>
          <w:rFonts w:eastAsia="Lato" w:cs="Lato"/>
          <w:color w:val="000000" w:themeColor="text1"/>
        </w:rPr>
        <w:t>leidend principe” en de motiveringsplicht.</w:t>
      </w:r>
    </w:p>
    <w:p w14:paraId="37598C80" w14:textId="77777777" w:rsidR="00EB61ED" w:rsidRPr="00EB61ED" w:rsidRDefault="00EB61ED">
      <w:pPr>
        <w:pStyle w:val="Kop3"/>
        <w:rPr>
          <w:rFonts w:eastAsia="Lato"/>
        </w:rPr>
      </w:pPr>
      <w:bookmarkStart w:id="94" w:name="_Toc135839966"/>
      <w:bookmarkStart w:id="95" w:name="_Toc150870571"/>
      <w:r w:rsidRPr="00EB61ED">
        <w:rPr>
          <w:rFonts w:eastAsia="Lato"/>
        </w:rPr>
        <w:t>Hoe verdelen in percelen?</w:t>
      </w:r>
      <w:bookmarkEnd w:id="94"/>
      <w:bookmarkEnd w:id="95"/>
    </w:p>
    <w:p w14:paraId="016FE05F" w14:textId="6E80AD7C" w:rsidR="00EB61ED" w:rsidRPr="001F56CE" w:rsidRDefault="00EB61ED" w:rsidP="00EB61ED">
      <w:pPr>
        <w:rPr>
          <w:rFonts w:eastAsia="Lato" w:cs="Lato"/>
          <w:color w:val="000000" w:themeColor="text1"/>
        </w:rPr>
      </w:pPr>
      <w:r w:rsidRPr="007677F2">
        <w:rPr>
          <w:rFonts w:eastAsia="Lato" w:cs="Lato"/>
          <w:b/>
          <w:bCs/>
          <w:color w:val="000000" w:themeColor="text1"/>
        </w:rPr>
        <w:t xml:space="preserve">Bij het nagaan of een verdeling </w:t>
      </w:r>
      <w:r w:rsidR="0050304C">
        <w:rPr>
          <w:rFonts w:eastAsia="Lato" w:cs="Lato"/>
          <w:b/>
          <w:bCs/>
          <w:color w:val="000000" w:themeColor="text1"/>
        </w:rPr>
        <w:t xml:space="preserve">in percelen </w:t>
      </w:r>
      <w:r w:rsidRPr="007677F2">
        <w:rPr>
          <w:rFonts w:eastAsia="Lato" w:cs="Lato"/>
          <w:b/>
          <w:bCs/>
          <w:color w:val="000000" w:themeColor="text1"/>
        </w:rPr>
        <w:t>opportuun is, is een goede marktverkenning cruciaal</w:t>
      </w:r>
      <w:r w:rsidRPr="00673BDC">
        <w:rPr>
          <w:rFonts w:eastAsia="Lato" w:cs="Lato"/>
          <w:b/>
          <w:bCs/>
          <w:color w:val="000000" w:themeColor="text1"/>
        </w:rPr>
        <w:t>.</w:t>
      </w:r>
      <w:r w:rsidRPr="6F2DC8B8">
        <w:rPr>
          <w:rFonts w:eastAsia="Lato" w:cs="Lato"/>
          <w:color w:val="000000" w:themeColor="text1"/>
        </w:rPr>
        <w:t xml:space="preserve"> Voor meer informatie over het verkennen van de markt en hoe dat op een correcte manier verloopt, </w:t>
      </w:r>
      <w:r w:rsidR="0050304C">
        <w:rPr>
          <w:rFonts w:eastAsia="Lato" w:cs="Lato"/>
          <w:color w:val="000000" w:themeColor="text1"/>
        </w:rPr>
        <w:t>zie</w:t>
      </w:r>
      <w:r w:rsidRPr="6F2DC8B8">
        <w:rPr>
          <w:rFonts w:eastAsia="Lato" w:cs="Lato"/>
          <w:color w:val="000000" w:themeColor="text1"/>
        </w:rPr>
        <w:t xml:space="preserve"> </w:t>
      </w:r>
      <w:r w:rsidRPr="001A18AD">
        <w:rPr>
          <w:rFonts w:eastAsia="Lato" w:cs="Lato"/>
          <w:color w:val="000000" w:themeColor="text1"/>
        </w:rPr>
        <w:t>principe 2.</w:t>
      </w:r>
      <w:r w:rsidRPr="6F2DC8B8">
        <w:rPr>
          <w:rFonts w:eastAsia="Lato" w:cs="Lato"/>
          <w:color w:val="000000" w:themeColor="text1"/>
        </w:rPr>
        <w:t xml:space="preserve"> </w:t>
      </w:r>
    </w:p>
    <w:p w14:paraId="04D2B6B3" w14:textId="77777777" w:rsidR="005176BC" w:rsidRDefault="00EB61ED" w:rsidP="00EB61ED">
      <w:pPr>
        <w:rPr>
          <w:rFonts w:eastAsia="Lato" w:cs="Lato"/>
          <w:color w:val="000000" w:themeColor="text1"/>
        </w:rPr>
      </w:pPr>
      <w:r w:rsidRPr="4C4C29DD">
        <w:rPr>
          <w:rFonts w:eastAsia="Lato" w:cs="Lato"/>
          <w:color w:val="000000" w:themeColor="text1"/>
        </w:rPr>
        <w:t>De verdeling in percelen kan zowel op kwantitatieve basis gebeuren, zodat</w:t>
      </w:r>
      <w:r w:rsidR="00185E1F">
        <w:rPr>
          <w:rFonts w:eastAsia="Lato" w:cs="Lato"/>
          <w:color w:val="000000" w:themeColor="text1"/>
        </w:rPr>
        <w:t xml:space="preserve"> </w:t>
      </w:r>
      <w:r w:rsidRPr="4C4C29DD">
        <w:rPr>
          <w:rFonts w:eastAsia="Lato" w:cs="Lato"/>
          <w:color w:val="000000" w:themeColor="text1"/>
        </w:rPr>
        <w:t xml:space="preserve">de omvang van de afzonderlijke delen van de opdracht beter afgestemd wordt op de capaciteit van de kmo’s, als op kwalitatieve basis - naargelang de vereiste vakkennis of specialisatie. Dat laatste heeft tot gevolg dat de verschillende delen van de opdracht inhoudelijk beter </w:t>
      </w:r>
      <w:r w:rsidR="00A26377">
        <w:rPr>
          <w:rFonts w:eastAsia="Lato" w:cs="Lato"/>
          <w:color w:val="000000" w:themeColor="text1"/>
        </w:rPr>
        <w:t>toegespitst</w:t>
      </w:r>
      <w:r w:rsidR="00A26377" w:rsidRPr="4C4C29DD">
        <w:rPr>
          <w:rFonts w:eastAsia="Lato" w:cs="Lato"/>
          <w:color w:val="000000" w:themeColor="text1"/>
        </w:rPr>
        <w:t xml:space="preserve"> </w:t>
      </w:r>
      <w:r w:rsidRPr="4C4C29DD">
        <w:rPr>
          <w:rFonts w:eastAsia="Lato" w:cs="Lato"/>
          <w:color w:val="000000" w:themeColor="text1"/>
        </w:rPr>
        <w:t xml:space="preserve">worden op de specialisaties binnen de kmo’s of op de verschillende vervolgfasen van het project. </w:t>
      </w:r>
    </w:p>
    <w:p w14:paraId="6F82666C" w14:textId="4EF0C187" w:rsidR="00EF28B3" w:rsidRDefault="00697ED6" w:rsidP="00EB61ED">
      <w:pPr>
        <w:rPr>
          <w:rFonts w:eastAsia="Lato" w:cs="Lato"/>
          <w:color w:val="000000" w:themeColor="text1"/>
        </w:rPr>
      </w:pPr>
      <w:r>
        <w:rPr>
          <w:rFonts w:eastAsia="Lato" w:cs="Lato"/>
          <w:color w:val="000000" w:themeColor="text1"/>
        </w:rPr>
        <w:t>Die manier van werken gaat</w:t>
      </w:r>
      <w:r w:rsidR="005176BC">
        <w:rPr>
          <w:rFonts w:eastAsia="Lato" w:cs="Lato"/>
          <w:color w:val="000000" w:themeColor="text1"/>
        </w:rPr>
        <w:t xml:space="preserve"> ook</w:t>
      </w:r>
      <w:r>
        <w:rPr>
          <w:rFonts w:eastAsia="Lato" w:cs="Lato"/>
          <w:color w:val="000000" w:themeColor="text1"/>
        </w:rPr>
        <w:t xml:space="preserve"> in tegen de praktijk </w:t>
      </w:r>
      <w:r w:rsidR="009A6C4E">
        <w:rPr>
          <w:rFonts w:eastAsia="Lato" w:cs="Lato"/>
          <w:color w:val="000000" w:themeColor="text1"/>
        </w:rPr>
        <w:t>van</w:t>
      </w:r>
      <w:r>
        <w:rPr>
          <w:rFonts w:eastAsia="Lato" w:cs="Lato"/>
          <w:color w:val="000000" w:themeColor="text1"/>
        </w:rPr>
        <w:t xml:space="preserve"> “geïntegreerde teams”</w:t>
      </w:r>
      <w:r w:rsidR="00B523BF">
        <w:rPr>
          <w:rFonts w:eastAsia="Lato" w:cs="Lato"/>
          <w:color w:val="000000" w:themeColor="text1"/>
        </w:rPr>
        <w:t>.</w:t>
      </w:r>
      <w:r w:rsidR="008C0ACC">
        <w:rPr>
          <w:rFonts w:eastAsia="Lato" w:cs="Lato"/>
          <w:color w:val="000000" w:themeColor="text1"/>
        </w:rPr>
        <w:t xml:space="preserve"> Daarbij gaat het om overheidsopdrachten die </w:t>
      </w:r>
      <w:r w:rsidR="00702ABA">
        <w:rPr>
          <w:rFonts w:eastAsia="Lato" w:cs="Lato"/>
          <w:color w:val="000000" w:themeColor="text1"/>
        </w:rPr>
        <w:t>op</w:t>
      </w:r>
      <w:r w:rsidR="008C0ACC">
        <w:rPr>
          <w:rFonts w:eastAsia="Lato" w:cs="Lato"/>
          <w:color w:val="000000" w:themeColor="text1"/>
        </w:rPr>
        <w:t xml:space="preserve"> meerdere </w:t>
      </w:r>
      <w:r w:rsidR="00D54D96">
        <w:rPr>
          <w:rFonts w:eastAsia="Lato" w:cs="Lato"/>
          <w:color w:val="000000" w:themeColor="text1"/>
        </w:rPr>
        <w:t xml:space="preserve">types </w:t>
      </w:r>
      <w:r w:rsidR="008C0ACC">
        <w:rPr>
          <w:rFonts w:eastAsia="Lato" w:cs="Lato"/>
          <w:color w:val="000000" w:themeColor="text1"/>
        </w:rPr>
        <w:t xml:space="preserve">diensten </w:t>
      </w:r>
      <w:r w:rsidR="009A6C4E">
        <w:rPr>
          <w:rFonts w:eastAsia="Lato" w:cs="Lato"/>
          <w:color w:val="000000" w:themeColor="text1"/>
        </w:rPr>
        <w:t>slaan binnen eenzelfde opdracht</w:t>
      </w:r>
      <w:r w:rsidR="008C0ACC">
        <w:rPr>
          <w:rFonts w:eastAsia="Lato" w:cs="Lato"/>
          <w:color w:val="000000" w:themeColor="text1"/>
        </w:rPr>
        <w:t>, maar waar van de inschrijver gevraagd wordt om die</w:t>
      </w:r>
      <w:r w:rsidR="00647968">
        <w:rPr>
          <w:rFonts w:eastAsia="Lato" w:cs="Lato"/>
          <w:color w:val="000000" w:themeColor="text1"/>
        </w:rPr>
        <w:t xml:space="preserve"> specialisaties</w:t>
      </w:r>
      <w:r w:rsidR="008C0ACC">
        <w:rPr>
          <w:rFonts w:eastAsia="Lato" w:cs="Lato"/>
          <w:color w:val="000000" w:themeColor="text1"/>
        </w:rPr>
        <w:t xml:space="preserve"> samen te brengen in een geïntegreerd team. Enerzijds </w:t>
      </w:r>
      <w:r w:rsidR="00647968">
        <w:rPr>
          <w:rFonts w:eastAsia="Lato" w:cs="Lato"/>
          <w:color w:val="000000" w:themeColor="text1"/>
        </w:rPr>
        <w:t>kan</w:t>
      </w:r>
      <w:r w:rsidR="008C0ACC">
        <w:rPr>
          <w:rFonts w:eastAsia="Lato" w:cs="Lato"/>
          <w:color w:val="000000" w:themeColor="text1"/>
        </w:rPr>
        <w:t xml:space="preserve"> een dergelijk aanpak positief </w:t>
      </w:r>
      <w:r w:rsidR="00647968">
        <w:rPr>
          <w:rFonts w:eastAsia="Lato" w:cs="Lato"/>
          <w:color w:val="000000" w:themeColor="text1"/>
        </w:rPr>
        <w:t xml:space="preserve">zijn </w:t>
      </w:r>
      <w:r w:rsidR="008C0ACC">
        <w:rPr>
          <w:rFonts w:eastAsia="Lato" w:cs="Lato"/>
          <w:color w:val="000000" w:themeColor="text1"/>
        </w:rPr>
        <w:t>voor</w:t>
      </w:r>
      <w:r w:rsidR="005176BC">
        <w:rPr>
          <w:rFonts w:eastAsia="Lato" w:cs="Lato"/>
          <w:color w:val="000000" w:themeColor="text1"/>
        </w:rPr>
        <w:t xml:space="preserve"> onder meer</w:t>
      </w:r>
      <w:r w:rsidR="008C0ACC">
        <w:rPr>
          <w:rFonts w:eastAsia="Lato" w:cs="Lato"/>
          <w:color w:val="000000" w:themeColor="text1"/>
        </w:rPr>
        <w:t xml:space="preserve"> een efficiënte uitvoering </w:t>
      </w:r>
      <w:r w:rsidR="008C0ACC">
        <w:rPr>
          <w:rFonts w:eastAsia="Lato" w:cs="Lato"/>
          <w:color w:val="000000" w:themeColor="text1"/>
        </w:rPr>
        <w:lastRenderedPageBreak/>
        <w:t xml:space="preserve">van de opdracht. Anderzijds kan een dergelijke aanpak een belemmering betekenen voor de </w:t>
      </w:r>
      <w:r w:rsidR="00F45022">
        <w:rPr>
          <w:rFonts w:eastAsia="Lato" w:cs="Lato"/>
          <w:color w:val="000000" w:themeColor="text1"/>
        </w:rPr>
        <w:t>kleinere onderneming voor wie het moeilijk(er) is om die diverse specialisaties samen te brengen</w:t>
      </w:r>
      <w:r w:rsidR="008C0ACC">
        <w:rPr>
          <w:rFonts w:eastAsia="Lato" w:cs="Lato"/>
          <w:color w:val="000000" w:themeColor="text1"/>
        </w:rPr>
        <w:t>.</w:t>
      </w:r>
    </w:p>
    <w:p w14:paraId="3BFF5622" w14:textId="1B367FA7" w:rsidR="00EB61ED" w:rsidRPr="001F56CE" w:rsidRDefault="00EB61ED" w:rsidP="00EB61ED">
      <w:pPr>
        <w:rPr>
          <w:rFonts w:eastAsia="Lato" w:cs="Lato"/>
          <w:color w:val="000000" w:themeColor="text1"/>
        </w:rPr>
      </w:pPr>
      <w:r w:rsidRPr="4C4C29DD">
        <w:rPr>
          <w:rFonts w:eastAsia="Lato" w:cs="Lato"/>
          <w:color w:val="000000" w:themeColor="text1"/>
        </w:rPr>
        <w:t xml:space="preserve">Ook tal van andere aspecten, zoals het geografische (bijvoorbeeld de provincies, maar ook een </w:t>
      </w:r>
      <w:r w:rsidR="00605584">
        <w:rPr>
          <w:rFonts w:eastAsia="Lato" w:cs="Lato"/>
          <w:color w:val="000000" w:themeColor="text1"/>
        </w:rPr>
        <w:t xml:space="preserve">andere of </w:t>
      </w:r>
      <w:r w:rsidRPr="4C4C29DD">
        <w:rPr>
          <w:rFonts w:eastAsia="Lato" w:cs="Lato"/>
          <w:color w:val="000000" w:themeColor="text1"/>
        </w:rPr>
        <w:t xml:space="preserve">kleinere territoriale indeling is mogelijk), kunnen worden meegenomen. Verderop worden enkele voorbeelden gegeven. </w:t>
      </w:r>
    </w:p>
    <w:p w14:paraId="6BCB21C3" w14:textId="77777777" w:rsidR="009A5620" w:rsidRDefault="00EB61ED" w:rsidP="00EB61ED">
      <w:pPr>
        <w:rPr>
          <w:rFonts w:eastAsia="Lato" w:cs="Lato"/>
          <w:color w:val="000000" w:themeColor="text1"/>
        </w:rPr>
      </w:pPr>
      <w:r w:rsidRPr="4C4C29DD">
        <w:rPr>
          <w:rFonts w:eastAsia="Lato" w:cs="Lato"/>
          <w:color w:val="000000" w:themeColor="text1"/>
        </w:rPr>
        <w:t xml:space="preserve">Uit de ervaring van de afgelopen jaren bij zowel aanbesteder als onderneming is naar voren gekomen dat een loutere opdeling in percelen bij opdrachten van grote omvang, bijvoorbeeld bij grote gezamenlijke aankopen, soms resulteert in percelen die nog steeds (veel) te groot zijn voor een kmo. </w:t>
      </w:r>
      <w:r w:rsidRPr="4C4C29DD">
        <w:rPr>
          <w:rFonts w:eastAsia="Lato" w:cs="Lato"/>
          <w:b/>
          <w:bCs/>
          <w:color w:val="000000" w:themeColor="text1"/>
        </w:rPr>
        <w:t>Een aanbesteder moet dus meer doen dan een opdracht opdelen, het resultaat van die opdeling moet geëvalueerd en indien nodig aangepast en verbeterd worden</w:t>
      </w:r>
      <w:r w:rsidRPr="00673BDC">
        <w:rPr>
          <w:rFonts w:eastAsia="Lato" w:cs="Lato"/>
          <w:b/>
          <w:bCs/>
          <w:color w:val="000000" w:themeColor="text1"/>
        </w:rPr>
        <w:t>.</w:t>
      </w:r>
    </w:p>
    <w:p w14:paraId="4D9823FA" w14:textId="626E236D" w:rsidR="00EB61ED" w:rsidRDefault="009A5620" w:rsidP="00EB61ED">
      <w:pPr>
        <w:rPr>
          <w:rFonts w:eastAsia="Lato" w:cs="Lato"/>
          <w:b/>
          <w:bCs/>
          <w:color w:val="000000" w:themeColor="text1"/>
        </w:rPr>
      </w:pPr>
      <w:r>
        <w:rPr>
          <w:rFonts w:eastAsia="Lato" w:cs="Lato"/>
          <w:color w:val="000000" w:themeColor="text1"/>
        </w:rPr>
        <w:t>Hierbij aansluitend</w:t>
      </w:r>
      <w:r w:rsidR="00002AFE">
        <w:rPr>
          <w:rFonts w:eastAsia="Lato" w:cs="Lato"/>
          <w:color w:val="000000" w:themeColor="text1"/>
        </w:rPr>
        <w:t xml:space="preserve"> moet</w:t>
      </w:r>
      <w:r w:rsidR="00A07A7A">
        <w:rPr>
          <w:rFonts w:eastAsia="Lato" w:cs="Lato"/>
          <w:color w:val="000000" w:themeColor="text1"/>
        </w:rPr>
        <w:t xml:space="preserve"> de</w:t>
      </w:r>
      <w:r w:rsidR="00002AFE">
        <w:rPr>
          <w:rFonts w:eastAsia="Lato" w:cs="Lato"/>
          <w:color w:val="000000" w:themeColor="text1"/>
        </w:rPr>
        <w:t xml:space="preserve"> aanbesteder er eveneens</w:t>
      </w:r>
      <w:r w:rsidR="004476E3">
        <w:rPr>
          <w:rFonts w:eastAsia="Lato" w:cs="Lato"/>
          <w:color w:val="000000" w:themeColor="text1"/>
        </w:rPr>
        <w:t xml:space="preserve"> </w:t>
      </w:r>
      <w:r>
        <w:rPr>
          <w:rFonts w:eastAsia="Lato" w:cs="Lato"/>
          <w:color w:val="000000" w:themeColor="text1"/>
        </w:rPr>
        <w:t xml:space="preserve">over waken dat </w:t>
      </w:r>
      <w:r w:rsidR="009E5166">
        <w:rPr>
          <w:rFonts w:eastAsia="Lato" w:cs="Lato"/>
          <w:color w:val="000000" w:themeColor="text1"/>
        </w:rPr>
        <w:t xml:space="preserve">individuele </w:t>
      </w:r>
      <w:r w:rsidR="00002AFE">
        <w:rPr>
          <w:rFonts w:eastAsia="Lato" w:cs="Lato"/>
          <w:color w:val="000000" w:themeColor="text1"/>
        </w:rPr>
        <w:t>percelen</w:t>
      </w:r>
      <w:r>
        <w:rPr>
          <w:rFonts w:eastAsia="Lato" w:cs="Lato"/>
          <w:color w:val="000000" w:themeColor="text1"/>
        </w:rPr>
        <w:t xml:space="preserve"> economisch leefbaar zijn.</w:t>
      </w:r>
      <w:r w:rsidR="00585268">
        <w:rPr>
          <w:rFonts w:eastAsia="Lato" w:cs="Lato"/>
          <w:color w:val="000000" w:themeColor="text1"/>
        </w:rPr>
        <w:t xml:space="preserve"> Zo werd</w:t>
      </w:r>
      <w:r w:rsidR="003E5E72">
        <w:rPr>
          <w:rFonts w:eastAsia="Lato" w:cs="Lato"/>
          <w:color w:val="000000" w:themeColor="text1"/>
        </w:rPr>
        <w:t xml:space="preserve"> in de praktijk</w:t>
      </w:r>
      <w:r w:rsidR="00585268">
        <w:rPr>
          <w:rFonts w:eastAsia="Lato" w:cs="Lato"/>
          <w:color w:val="000000" w:themeColor="text1"/>
        </w:rPr>
        <w:t xml:space="preserve"> reeds vastgesteld dat voor bepaalde producten en diensten een te lokale invulling</w:t>
      </w:r>
      <w:r w:rsidR="009D281B">
        <w:rPr>
          <w:rFonts w:eastAsia="Lato" w:cs="Lato"/>
          <w:color w:val="000000" w:themeColor="text1"/>
        </w:rPr>
        <w:t xml:space="preserve"> van de </w:t>
      </w:r>
      <w:r w:rsidR="006F5C45">
        <w:rPr>
          <w:rFonts w:eastAsia="Lato" w:cs="Lato"/>
          <w:color w:val="000000" w:themeColor="text1"/>
        </w:rPr>
        <w:t xml:space="preserve">verdeling in </w:t>
      </w:r>
      <w:r w:rsidR="009D281B">
        <w:rPr>
          <w:rFonts w:eastAsia="Lato" w:cs="Lato"/>
          <w:color w:val="000000" w:themeColor="text1"/>
        </w:rPr>
        <w:t>percelen</w:t>
      </w:r>
      <w:r w:rsidR="00247B6C">
        <w:rPr>
          <w:rFonts w:eastAsia="Lato" w:cs="Lato"/>
          <w:color w:val="000000" w:themeColor="text1"/>
        </w:rPr>
        <w:t xml:space="preserve"> economisch niet rendabel was</w:t>
      </w:r>
      <w:r w:rsidR="00FB4858">
        <w:rPr>
          <w:rFonts w:eastAsia="Lato" w:cs="Lato"/>
          <w:color w:val="000000" w:themeColor="text1"/>
        </w:rPr>
        <w:t xml:space="preserve">, zelfs niet voor lokale/regionale bedrijven. Opnieuw </w:t>
      </w:r>
      <w:r w:rsidR="0014122E">
        <w:rPr>
          <w:rFonts w:eastAsia="Lato" w:cs="Lato"/>
          <w:color w:val="000000" w:themeColor="text1"/>
        </w:rPr>
        <w:t xml:space="preserve">blijkt een goede marktverkenning cruciaal. </w:t>
      </w:r>
      <w:r>
        <w:rPr>
          <w:rFonts w:eastAsia="Lato" w:cs="Lato"/>
          <w:color w:val="000000" w:themeColor="text1"/>
        </w:rPr>
        <w:t xml:space="preserve"> </w:t>
      </w:r>
      <w:r w:rsidR="00EB61ED" w:rsidRPr="4C4C29DD">
        <w:rPr>
          <w:rFonts w:eastAsia="Lato" w:cs="Lato"/>
          <w:color w:val="000000" w:themeColor="text1"/>
        </w:rPr>
        <w:t xml:space="preserve"> </w:t>
      </w:r>
    </w:p>
    <w:p w14:paraId="60A91A04" w14:textId="1E2950B4" w:rsidR="00EB61ED" w:rsidRDefault="00EB61ED" w:rsidP="00EB61ED">
      <w:pPr>
        <w:rPr>
          <w:rFonts w:eastAsia="Lato" w:cs="Lato"/>
          <w:color w:val="000000" w:themeColor="text1"/>
        </w:rPr>
      </w:pPr>
      <w:r w:rsidRPr="4C4C29DD">
        <w:rPr>
          <w:rFonts w:eastAsia="Lato" w:cs="Lato"/>
          <w:color w:val="000000" w:themeColor="text1"/>
        </w:rPr>
        <w:t>Het is belangrijk dat elk perceel afzonderlijk omschreven wordt, als het ware als een afzonderlijke overheidsopdracht. Dat moet tot een hogere transparantie en verduidelijking van de opdracht leiden, waardoor inschrijvers met meer kennis van zaken voor één of meerdere percelen</w:t>
      </w:r>
      <w:r w:rsidR="00913FCB">
        <w:rPr>
          <w:rFonts w:eastAsia="Lato" w:cs="Lato"/>
          <w:color w:val="000000" w:themeColor="text1"/>
        </w:rPr>
        <w:t>,</w:t>
      </w:r>
      <w:r w:rsidRPr="4C4C29DD">
        <w:rPr>
          <w:rFonts w:eastAsia="Lato" w:cs="Lato"/>
          <w:color w:val="000000" w:themeColor="text1"/>
        </w:rPr>
        <w:t xml:space="preserve"> daarvoor een offerte kunnen indienen.  </w:t>
      </w:r>
    </w:p>
    <w:p w14:paraId="02F6490C" w14:textId="119E5A6B" w:rsidR="00242B85" w:rsidRDefault="00242B85">
      <w:pPr>
        <w:pStyle w:val="Kop3"/>
        <w:rPr>
          <w:rFonts w:eastAsia="Lato"/>
        </w:rPr>
      </w:pPr>
      <w:bookmarkStart w:id="96" w:name="_Toc135839967"/>
      <w:bookmarkStart w:id="97" w:name="_Toc150870572"/>
      <w:r>
        <w:rPr>
          <w:rFonts w:eastAsia="Lato"/>
        </w:rPr>
        <w:t>Bijkomende bepalingen</w:t>
      </w:r>
      <w:bookmarkEnd w:id="96"/>
      <w:bookmarkEnd w:id="97"/>
    </w:p>
    <w:p w14:paraId="1290EE1A" w14:textId="2D9052CB" w:rsidR="00D20157" w:rsidRPr="001F56CE" w:rsidRDefault="00D20157" w:rsidP="00D20157">
      <w:pPr>
        <w:rPr>
          <w:rFonts w:eastAsia="Lato" w:cs="Lato"/>
          <w:color w:val="000000" w:themeColor="text1"/>
        </w:rPr>
      </w:pPr>
      <w:r w:rsidRPr="578F2A6C">
        <w:rPr>
          <w:rFonts w:eastAsia="Lato" w:cs="Lato"/>
          <w:color w:val="000000" w:themeColor="text1"/>
        </w:rPr>
        <w:t>De bepaling die toelaat om te opteren voor een beperking van het aantal percelen waarvoor een inschrijver een offerte mag indienen, is aan geen inhoudelijke of vormvoorwaarden onderhevig. Evenwel moet in de aankondiging van een opdracht worden vermeld of offertes mogen worden ingediend voor een, meer of alle percelen. Daarmee werd afgestapt van de vroegere regeling waarbij de inschrijver naar eigen keuze een offerte mocht indienen voor een</w:t>
      </w:r>
      <w:r w:rsidR="00486C4F">
        <w:rPr>
          <w:rFonts w:eastAsia="Lato" w:cs="Lato"/>
          <w:color w:val="000000" w:themeColor="text1"/>
        </w:rPr>
        <w:t xml:space="preserve"> of</w:t>
      </w:r>
      <w:r w:rsidRPr="578F2A6C">
        <w:rPr>
          <w:rFonts w:eastAsia="Lato" w:cs="Lato"/>
          <w:color w:val="000000" w:themeColor="text1"/>
        </w:rPr>
        <w:t xml:space="preserve"> meerdere percelen. </w:t>
      </w:r>
    </w:p>
    <w:p w14:paraId="5D0B23F9" w14:textId="51828E0A" w:rsidR="00D20157" w:rsidRPr="001F56CE" w:rsidRDefault="00D20157" w:rsidP="00D20157">
      <w:pPr>
        <w:rPr>
          <w:rFonts w:eastAsia="Lato" w:cs="Lato"/>
          <w:color w:val="000000" w:themeColor="text1"/>
        </w:rPr>
      </w:pPr>
      <w:r w:rsidRPr="4C4C29DD">
        <w:rPr>
          <w:rFonts w:eastAsia="Lato" w:cs="Lato"/>
          <w:color w:val="000000" w:themeColor="text1"/>
        </w:rPr>
        <w:t xml:space="preserve">Een beperking van het aantal percelen waarvoor een inschrijver een offerte mag indienen, kan ingegeven zijn door het willen veiligstellen van de concurrentie of van de betrouwbaarheid van de levering, maar ook om de toegang van kmo’s te vergemakkelijken. </w:t>
      </w:r>
    </w:p>
    <w:p w14:paraId="0F700112" w14:textId="39459A3B" w:rsidR="00D20157" w:rsidRPr="001F56CE" w:rsidRDefault="00D20157" w:rsidP="00D20157">
      <w:pPr>
        <w:rPr>
          <w:rFonts w:eastAsia="Lato" w:cs="Lato"/>
          <w:color w:val="000000" w:themeColor="text1"/>
        </w:rPr>
      </w:pPr>
      <w:r w:rsidRPr="00CE75D6">
        <w:rPr>
          <w:rFonts w:eastAsia="Lato" w:cs="Lato"/>
          <w:b/>
          <w:bCs/>
          <w:color w:val="000000" w:themeColor="text1"/>
        </w:rPr>
        <w:t>Vanuit het standpunt van de opdrachtnemer lijkt het evenwel aangewezen om, wanneer mogelijk, het eerder aan de ondernemingen over te laten om te beslissen voor welke en hoeveel percelen ze inschrijven</w:t>
      </w:r>
      <w:r w:rsidRPr="00CB381F">
        <w:rPr>
          <w:rFonts w:eastAsia="Lato" w:cs="Lato"/>
          <w:b/>
          <w:bCs/>
          <w:color w:val="000000" w:themeColor="text1"/>
        </w:rPr>
        <w:t>.</w:t>
      </w:r>
      <w:r w:rsidRPr="5FEC7BED">
        <w:rPr>
          <w:rFonts w:eastAsia="Lato" w:cs="Lato"/>
          <w:color w:val="000000" w:themeColor="text1"/>
        </w:rPr>
        <w:t xml:space="preserve"> Zij zijn immers </w:t>
      </w:r>
      <w:r w:rsidR="00151AD6">
        <w:rPr>
          <w:rFonts w:eastAsia="Lato" w:cs="Lato"/>
          <w:color w:val="000000" w:themeColor="text1"/>
        </w:rPr>
        <w:t xml:space="preserve">het </w:t>
      </w:r>
      <w:r w:rsidRPr="5FEC7BED">
        <w:rPr>
          <w:rFonts w:eastAsia="Lato" w:cs="Lato"/>
          <w:color w:val="000000" w:themeColor="text1"/>
        </w:rPr>
        <w:t>best</w:t>
      </w:r>
      <w:r w:rsidR="00151AD6">
        <w:rPr>
          <w:rFonts w:eastAsia="Lato" w:cs="Lato"/>
          <w:color w:val="000000" w:themeColor="text1"/>
        </w:rPr>
        <w:t>e</w:t>
      </w:r>
      <w:r w:rsidRPr="5FEC7BED">
        <w:rPr>
          <w:rFonts w:eastAsia="Lato" w:cs="Lato"/>
          <w:color w:val="000000" w:themeColor="text1"/>
        </w:rPr>
        <w:t xml:space="preserve"> geplaatst om daarover te oordelen op basis van hun expertise en beschikbare middelen. </w:t>
      </w:r>
      <w:r w:rsidR="00D005FF" w:rsidRPr="008F392B">
        <w:rPr>
          <w:rFonts w:eastAsia="Lato" w:cs="Lato"/>
          <w:color w:val="000000" w:themeColor="text1"/>
        </w:rPr>
        <w:t>Bovendien is het af te raden de inschrijvers te verplichten om in te tekenen op alle percelen</w:t>
      </w:r>
      <w:r w:rsidR="00F166D3" w:rsidRPr="008F392B">
        <w:rPr>
          <w:rFonts w:eastAsia="Lato" w:cs="Lato"/>
          <w:color w:val="000000" w:themeColor="text1"/>
        </w:rPr>
        <w:t>: dat kan immers een belemmering vormen voor de</w:t>
      </w:r>
      <w:r w:rsidR="00D6146D" w:rsidRPr="008F392B">
        <w:rPr>
          <w:rFonts w:eastAsia="Lato" w:cs="Lato"/>
          <w:color w:val="000000" w:themeColor="text1"/>
        </w:rPr>
        <w:t xml:space="preserve"> toegang van kleinere ondernemingen </w:t>
      </w:r>
      <w:r w:rsidR="00F166D3" w:rsidRPr="008F392B">
        <w:rPr>
          <w:rFonts w:eastAsia="Lato" w:cs="Lato"/>
          <w:color w:val="000000" w:themeColor="text1"/>
        </w:rPr>
        <w:t>tot de opdracht.</w:t>
      </w:r>
      <w:r w:rsidR="00D6146D" w:rsidRPr="008F392B">
        <w:rPr>
          <w:rFonts w:eastAsia="Lato" w:cs="Lato"/>
          <w:color w:val="000000" w:themeColor="text1"/>
        </w:rPr>
        <w:t xml:space="preserve"> </w:t>
      </w:r>
      <w:r w:rsidR="00F166D3" w:rsidRPr="008F392B">
        <w:rPr>
          <w:rFonts w:eastAsia="Lato" w:cs="Lato"/>
          <w:color w:val="000000" w:themeColor="text1"/>
        </w:rPr>
        <w:t xml:space="preserve">Het is aangewezen </w:t>
      </w:r>
      <w:r w:rsidR="00D7772A" w:rsidRPr="008F392B">
        <w:rPr>
          <w:rFonts w:eastAsia="Lato" w:cs="Lato"/>
          <w:color w:val="000000" w:themeColor="text1"/>
        </w:rPr>
        <w:t xml:space="preserve">om </w:t>
      </w:r>
      <w:r w:rsidR="00F166D3" w:rsidRPr="008F392B">
        <w:rPr>
          <w:rFonts w:eastAsia="Lato" w:cs="Lato"/>
          <w:color w:val="000000" w:themeColor="text1"/>
        </w:rPr>
        <w:t>een dergelijke niet-verplichting</w:t>
      </w:r>
      <w:r w:rsidR="00D005FF" w:rsidRPr="008F392B">
        <w:rPr>
          <w:rFonts w:eastAsia="Lato" w:cs="Lato"/>
          <w:color w:val="000000" w:themeColor="text1"/>
        </w:rPr>
        <w:t xml:space="preserve"> duidelijk </w:t>
      </w:r>
      <w:r w:rsidR="00F166D3" w:rsidRPr="008F392B">
        <w:rPr>
          <w:rFonts w:eastAsia="Lato" w:cs="Lato"/>
          <w:color w:val="000000" w:themeColor="text1"/>
        </w:rPr>
        <w:t xml:space="preserve">te </w:t>
      </w:r>
      <w:r w:rsidR="00D005FF" w:rsidRPr="008F392B">
        <w:rPr>
          <w:rFonts w:eastAsia="Lato" w:cs="Lato"/>
          <w:color w:val="000000" w:themeColor="text1"/>
        </w:rPr>
        <w:t>vermeld</w:t>
      </w:r>
      <w:r w:rsidR="00F166D3" w:rsidRPr="008F392B">
        <w:rPr>
          <w:rFonts w:eastAsia="Lato" w:cs="Lato"/>
          <w:color w:val="000000" w:themeColor="text1"/>
        </w:rPr>
        <w:t>en</w:t>
      </w:r>
      <w:r w:rsidR="00D005FF" w:rsidRPr="008F392B">
        <w:rPr>
          <w:rFonts w:eastAsia="Lato" w:cs="Lato"/>
          <w:color w:val="000000" w:themeColor="text1"/>
        </w:rPr>
        <w:t xml:space="preserve"> in de opdrachtdocumenten.</w:t>
      </w:r>
      <w:r w:rsidR="00D005FF">
        <w:rPr>
          <w:rFonts w:eastAsia="Lato" w:cs="Lato"/>
          <w:color w:val="000000" w:themeColor="text1"/>
        </w:rPr>
        <w:t xml:space="preserve"> </w:t>
      </w:r>
      <w:r>
        <w:rPr>
          <w:rFonts w:eastAsia="Lato" w:cs="Lato"/>
          <w:color w:val="000000" w:themeColor="text1"/>
        </w:rPr>
        <w:t>Tegelijk</w:t>
      </w:r>
      <w:r w:rsidRPr="5FEC7BED">
        <w:rPr>
          <w:rFonts w:eastAsia="Lato" w:cs="Lato"/>
          <w:color w:val="000000" w:themeColor="text1"/>
        </w:rPr>
        <w:t xml:space="preserve"> bestaat </w:t>
      </w:r>
      <w:r>
        <w:rPr>
          <w:rFonts w:eastAsia="Lato" w:cs="Lato"/>
          <w:color w:val="000000" w:themeColor="text1"/>
        </w:rPr>
        <w:t xml:space="preserve">voor de aanbesteder </w:t>
      </w:r>
      <w:r w:rsidRPr="5FEC7BED">
        <w:rPr>
          <w:rFonts w:eastAsia="Lato" w:cs="Lato"/>
          <w:color w:val="000000" w:themeColor="text1"/>
        </w:rPr>
        <w:t xml:space="preserve">het risico dat ondernemingen zich concentreren op de in hun ogen meest aantrekkelijke percelen en dat er voor een aantal andere percelen geen offertes ontvangen worden. </w:t>
      </w:r>
      <w:r w:rsidR="00B2353C">
        <w:rPr>
          <w:rFonts w:eastAsia="Lato" w:cs="Lato"/>
          <w:color w:val="000000" w:themeColor="text1"/>
        </w:rPr>
        <w:t xml:space="preserve">Dit laatste kan ook betekenen </w:t>
      </w:r>
      <w:r w:rsidR="004156CF">
        <w:rPr>
          <w:rFonts w:eastAsia="Lato" w:cs="Lato"/>
          <w:color w:val="000000" w:themeColor="text1"/>
        </w:rPr>
        <w:t xml:space="preserve">dat bepaalde percelen </w:t>
      </w:r>
      <w:r w:rsidR="00F84492">
        <w:rPr>
          <w:rFonts w:eastAsia="Lato" w:cs="Lato"/>
          <w:color w:val="000000" w:themeColor="text1"/>
        </w:rPr>
        <w:t>gewoonweg</w:t>
      </w:r>
      <w:r w:rsidR="004156CF">
        <w:rPr>
          <w:rFonts w:eastAsia="Lato" w:cs="Lato"/>
          <w:color w:val="000000" w:themeColor="text1"/>
        </w:rPr>
        <w:t xml:space="preserve"> niet rendabel zijn en dat er dus iets schort </w:t>
      </w:r>
      <w:r w:rsidR="00627A3D">
        <w:rPr>
          <w:rFonts w:eastAsia="Lato" w:cs="Lato"/>
          <w:color w:val="000000" w:themeColor="text1"/>
        </w:rPr>
        <w:t>aan</w:t>
      </w:r>
      <w:r w:rsidR="004156CF">
        <w:rPr>
          <w:rFonts w:eastAsia="Lato" w:cs="Lato"/>
          <w:color w:val="000000" w:themeColor="text1"/>
        </w:rPr>
        <w:t xml:space="preserve"> de verdeling.</w:t>
      </w:r>
    </w:p>
    <w:p w14:paraId="56E5BB72" w14:textId="77777777" w:rsidR="00D20157" w:rsidRPr="001F56CE" w:rsidRDefault="00D20157" w:rsidP="00D20157">
      <w:pPr>
        <w:rPr>
          <w:rFonts w:eastAsia="Lato" w:cs="Lato"/>
          <w:color w:val="000000" w:themeColor="text1"/>
        </w:rPr>
      </w:pPr>
      <w:r w:rsidRPr="00551D5A">
        <w:rPr>
          <w:rFonts w:eastAsia="Lato" w:cs="Lato"/>
          <w:color w:val="000000" w:themeColor="text1"/>
        </w:rPr>
        <w:t>Daarnaast mag de aanbestedende overheid, zelfs indien er offertes mogen worden ingediend voor meer of alle percelen, het aantal aan één inschrijver te gunnen percelen beperken</w:t>
      </w:r>
      <w:r w:rsidRPr="6F2DC8B8">
        <w:rPr>
          <w:rFonts w:eastAsia="Lato" w:cs="Lato"/>
          <w:color w:val="000000" w:themeColor="text1"/>
        </w:rPr>
        <w:t xml:space="preserve">, mits het maximumaantal percelen per inschrijver in de aankondiging van een opdracht is aangegeven. </w:t>
      </w:r>
    </w:p>
    <w:p w14:paraId="4654EF30" w14:textId="77777777" w:rsidR="00D20157" w:rsidRPr="001F56CE" w:rsidRDefault="00D20157" w:rsidP="00D20157">
      <w:pPr>
        <w:rPr>
          <w:rFonts w:eastAsia="Lato" w:cs="Lato"/>
          <w:color w:val="000000" w:themeColor="text1"/>
        </w:rPr>
      </w:pPr>
      <w:r w:rsidRPr="5FEC7BED">
        <w:rPr>
          <w:rFonts w:eastAsia="Lato" w:cs="Lato"/>
          <w:color w:val="000000" w:themeColor="text1"/>
        </w:rPr>
        <w:t>In dat geval moeten de objectieve en niet-discriminerende criteria of regels in de opdrachtdocumenten vermeld worden die zullen worden toegepast om te bepalen welke percelen zullen worden gegund, indien de toepassing van de gunningscriteria zou leiden tot de gunning van meer percelen dan het maximumaantal aan eenzelfde inschrijver. De inschrijver zou bijvoorbeeld kunnen worden gevraagd om zijn orde van voorkeur aan te geven waarin hij de verschillende percelen toegewezen zou willen zien. Een andere mogelijkheid bestaat erin via lottrekking op te treden, meer bepaald in het geval waarin de hierboven vermelde werkwijze, of een andere, niet zou toelaten om de percelen toe te wijzen.</w:t>
      </w:r>
    </w:p>
    <w:p w14:paraId="4368D80F" w14:textId="269AA1FC" w:rsidR="00D20157" w:rsidRDefault="00D20157" w:rsidP="00D20157">
      <w:pPr>
        <w:rPr>
          <w:rFonts w:eastAsia="Lato" w:cs="Lato"/>
          <w:color w:val="0070C0"/>
        </w:rPr>
      </w:pPr>
      <w:r w:rsidRPr="00562CC2">
        <w:rPr>
          <w:rFonts w:eastAsia="Lato" w:cs="Lato"/>
          <w:b/>
          <w:bCs/>
          <w:color w:val="000000" w:themeColor="text1"/>
        </w:rPr>
        <w:t>Bovenstaande mogelijkheid</w:t>
      </w:r>
      <w:r>
        <w:rPr>
          <w:rFonts w:eastAsia="Lato" w:cs="Lato"/>
          <w:b/>
          <w:bCs/>
          <w:color w:val="000000" w:themeColor="text1"/>
        </w:rPr>
        <w:t xml:space="preserve">, expliciet </w:t>
      </w:r>
      <w:r w:rsidR="00EE16B8">
        <w:rPr>
          <w:rFonts w:eastAsia="Lato" w:cs="Lato"/>
          <w:b/>
          <w:bCs/>
          <w:color w:val="000000" w:themeColor="text1"/>
        </w:rPr>
        <w:t xml:space="preserve">toegestaan </w:t>
      </w:r>
      <w:r>
        <w:rPr>
          <w:rFonts w:eastAsia="Lato" w:cs="Lato"/>
          <w:b/>
          <w:bCs/>
          <w:color w:val="000000" w:themeColor="text1"/>
        </w:rPr>
        <w:t>door</w:t>
      </w:r>
      <w:r w:rsidRPr="00562CC2">
        <w:rPr>
          <w:rFonts w:eastAsia="Lato" w:cs="Lato"/>
          <w:b/>
          <w:bCs/>
          <w:color w:val="000000" w:themeColor="text1"/>
        </w:rPr>
        <w:t xml:space="preserve"> de regelgeving</w:t>
      </w:r>
      <w:r>
        <w:rPr>
          <w:rFonts w:eastAsia="Lato" w:cs="Lato"/>
          <w:b/>
          <w:bCs/>
          <w:color w:val="000000" w:themeColor="text1"/>
        </w:rPr>
        <w:t>,</w:t>
      </w:r>
      <w:r w:rsidRPr="00562CC2">
        <w:rPr>
          <w:rFonts w:eastAsia="Lato" w:cs="Lato"/>
          <w:b/>
          <w:bCs/>
          <w:color w:val="000000" w:themeColor="text1"/>
        </w:rPr>
        <w:t xml:space="preserve"> is één van de belangrijkste hefbomen voor een aanbesteder om </w:t>
      </w:r>
      <w:r>
        <w:rPr>
          <w:rFonts w:eastAsia="Lato" w:cs="Lato"/>
          <w:b/>
          <w:bCs/>
          <w:color w:val="000000" w:themeColor="text1"/>
        </w:rPr>
        <w:t xml:space="preserve">de </w:t>
      </w:r>
      <w:r w:rsidRPr="00562CC2">
        <w:rPr>
          <w:rFonts w:eastAsia="Lato" w:cs="Lato"/>
          <w:b/>
          <w:bCs/>
          <w:color w:val="000000" w:themeColor="text1"/>
        </w:rPr>
        <w:t xml:space="preserve">diversiteit onder de opdrachtnemers te stimuleren </w:t>
      </w:r>
      <w:r w:rsidRPr="6F2DC8B8">
        <w:rPr>
          <w:rFonts w:eastAsia="Lato" w:cs="Lato"/>
          <w:color w:val="000000" w:themeColor="text1"/>
        </w:rPr>
        <w:t xml:space="preserve">en te voorkomen dat, ondanks een verdeling in percelen, alle percelen bij dezelfde inschrijver belanden – dat weliswaar op basis van objectieve en niet-discriminerende criteria of regels. </w:t>
      </w:r>
      <w:r w:rsidRPr="00566BAE">
        <w:rPr>
          <w:rFonts w:eastAsia="Lato" w:cs="Lato"/>
          <w:b/>
          <w:bCs/>
          <w:color w:val="0070C0"/>
        </w:rPr>
        <w:t xml:space="preserve">Het charter </w:t>
      </w:r>
      <w:r w:rsidR="00BA0474" w:rsidRPr="00566BAE">
        <w:rPr>
          <w:rFonts w:eastAsia="Lato" w:cs="Lato"/>
          <w:b/>
          <w:bCs/>
          <w:color w:val="0070C0"/>
        </w:rPr>
        <w:lastRenderedPageBreak/>
        <w:t xml:space="preserve">vraagt </w:t>
      </w:r>
      <w:r w:rsidRPr="00566BAE">
        <w:rPr>
          <w:rFonts w:eastAsia="Lato" w:cs="Lato"/>
          <w:b/>
          <w:bCs/>
          <w:color w:val="0070C0"/>
        </w:rPr>
        <w:t xml:space="preserve">dan ook van de aanbesteder dat </w:t>
      </w:r>
      <w:r w:rsidR="00D76021" w:rsidRPr="00566BAE">
        <w:rPr>
          <w:rFonts w:eastAsia="Lato" w:cs="Lato"/>
          <w:b/>
          <w:bCs/>
          <w:color w:val="0070C0"/>
        </w:rPr>
        <w:t>het beperken van het aantal aan één inschrijver te gunnen percelen</w:t>
      </w:r>
      <w:r w:rsidRPr="00566BAE">
        <w:rPr>
          <w:rFonts w:eastAsia="Lato" w:cs="Lato"/>
          <w:b/>
          <w:bCs/>
          <w:color w:val="0070C0"/>
        </w:rPr>
        <w:t xml:space="preserve">, tenzij in </w:t>
      </w:r>
      <w:r w:rsidR="00BA0474" w:rsidRPr="00566BAE">
        <w:rPr>
          <w:rFonts w:eastAsia="Lato" w:cs="Lato"/>
          <w:b/>
          <w:bCs/>
          <w:color w:val="0070C0"/>
        </w:rPr>
        <w:t xml:space="preserve">uitzonderlijke </w:t>
      </w:r>
      <w:r w:rsidRPr="00566BAE">
        <w:rPr>
          <w:rFonts w:eastAsia="Lato" w:cs="Lato"/>
          <w:b/>
          <w:bCs/>
          <w:color w:val="0070C0"/>
        </w:rPr>
        <w:t xml:space="preserve">gevallen, </w:t>
      </w:r>
      <w:r w:rsidRPr="005B72EE">
        <w:rPr>
          <w:rFonts w:eastAsia="Lato" w:cs="Lato"/>
          <w:b/>
          <w:bCs/>
          <w:color w:val="0070C0"/>
        </w:rPr>
        <w:t>wanneer mogelijk wordt toegepast</w:t>
      </w:r>
      <w:r w:rsidRPr="00317AFE">
        <w:rPr>
          <w:rFonts w:eastAsia="Lato" w:cs="Lato"/>
          <w:b/>
          <w:bCs/>
          <w:color w:val="0070C0"/>
        </w:rPr>
        <w:t>.</w:t>
      </w:r>
    </w:p>
    <w:p w14:paraId="3FD2C64D" w14:textId="0EE1ED0E" w:rsidR="00654538" w:rsidRPr="005B72EE" w:rsidRDefault="00654538" w:rsidP="00D20157">
      <w:pPr>
        <w:rPr>
          <w:rFonts w:eastAsia="Lato" w:cs="Lato"/>
          <w:b/>
          <w:bCs/>
          <w:color w:val="0070C0"/>
        </w:rPr>
      </w:pPr>
      <w:r w:rsidRPr="005B72EE">
        <w:rPr>
          <w:rFonts w:eastAsia="Lato" w:cs="Lato"/>
          <w:b/>
          <w:bCs/>
          <w:color w:val="0070C0"/>
        </w:rPr>
        <w:t>Twee nuances:</w:t>
      </w:r>
    </w:p>
    <w:p w14:paraId="43EBE697" w14:textId="36BC1962" w:rsidR="00654538" w:rsidRDefault="005E0484">
      <w:pPr>
        <w:pStyle w:val="Lijstnummering"/>
        <w:numPr>
          <w:ilvl w:val="0"/>
          <w:numId w:val="43"/>
        </w:numPr>
        <w:rPr>
          <w:rFonts w:eastAsia="Lato"/>
        </w:rPr>
      </w:pPr>
      <w:r>
        <w:rPr>
          <w:rFonts w:eastAsia="Lato"/>
        </w:rPr>
        <w:t>d</w:t>
      </w:r>
      <w:r w:rsidR="00654538">
        <w:rPr>
          <w:rFonts w:eastAsia="Lato"/>
        </w:rPr>
        <w:t xml:space="preserve">e aanbesteder </w:t>
      </w:r>
      <w:r w:rsidR="00874D56">
        <w:rPr>
          <w:rFonts w:eastAsia="Lato"/>
        </w:rPr>
        <w:t>waakt erover</w:t>
      </w:r>
      <w:r w:rsidR="00C0216A">
        <w:rPr>
          <w:rFonts w:eastAsia="Lato"/>
        </w:rPr>
        <w:t>, via bijvoorbeeld een marktverkenning,</w:t>
      </w:r>
      <w:r w:rsidR="00874D56">
        <w:rPr>
          <w:rFonts w:eastAsia="Lato"/>
        </w:rPr>
        <w:t xml:space="preserve"> dat de markt voldoende matuur is om </w:t>
      </w:r>
      <w:r w:rsidR="00C0216A">
        <w:rPr>
          <w:rFonts w:eastAsia="Lato"/>
        </w:rPr>
        <w:t>de nodige mededinging</w:t>
      </w:r>
      <w:r w:rsidR="00AE4EAF">
        <w:rPr>
          <w:rFonts w:eastAsia="Lato"/>
        </w:rPr>
        <w:t xml:space="preserve"> (</w:t>
      </w:r>
      <w:r w:rsidR="000C4C4E">
        <w:rPr>
          <w:rFonts w:eastAsia="Lato"/>
        </w:rPr>
        <w:t xml:space="preserve">voldoende </w:t>
      </w:r>
      <w:r w:rsidR="00AE4EAF">
        <w:rPr>
          <w:rFonts w:eastAsia="Lato"/>
        </w:rPr>
        <w:t>offertes</w:t>
      </w:r>
      <w:r w:rsidR="000C4C4E">
        <w:rPr>
          <w:rFonts w:eastAsia="Lato"/>
        </w:rPr>
        <w:t xml:space="preserve"> voor de percelen</w:t>
      </w:r>
      <w:r w:rsidR="00AE4EAF">
        <w:rPr>
          <w:rFonts w:eastAsia="Lato"/>
        </w:rPr>
        <w:t>)</w:t>
      </w:r>
      <w:r w:rsidR="00C0216A">
        <w:rPr>
          <w:rFonts w:eastAsia="Lato"/>
        </w:rPr>
        <w:t xml:space="preserve"> </w:t>
      </w:r>
      <w:r w:rsidR="005A2700">
        <w:rPr>
          <w:rFonts w:eastAsia="Lato"/>
        </w:rPr>
        <w:t>te verzekeren</w:t>
      </w:r>
      <w:r w:rsidR="00C0216A">
        <w:rPr>
          <w:rFonts w:eastAsia="Lato"/>
        </w:rPr>
        <w:t xml:space="preserve">. </w:t>
      </w:r>
    </w:p>
    <w:p w14:paraId="5D78CE56" w14:textId="6E64A8CB" w:rsidR="005E0484" w:rsidRPr="005B72EE" w:rsidRDefault="0061472E">
      <w:pPr>
        <w:pStyle w:val="Lijstnummering"/>
        <w:numPr>
          <w:ilvl w:val="0"/>
          <w:numId w:val="43"/>
        </w:numPr>
        <w:rPr>
          <w:rFonts w:eastAsia="Lato"/>
        </w:rPr>
      </w:pPr>
      <w:r>
        <w:rPr>
          <w:rFonts w:eastAsia="Lato"/>
        </w:rPr>
        <w:t>h</w:t>
      </w:r>
      <w:r w:rsidR="005E0484">
        <w:rPr>
          <w:rFonts w:eastAsia="Lato"/>
        </w:rPr>
        <w:t xml:space="preserve">et maximumaantal percelen per inschrijver hoeft vanzelfsprekend niet automatisch </w:t>
      </w:r>
      <w:r w:rsidR="00BA12BB">
        <w:rPr>
          <w:rFonts w:eastAsia="Lato"/>
        </w:rPr>
        <w:t>één te zijn</w:t>
      </w:r>
      <w:r w:rsidR="00A853CE">
        <w:rPr>
          <w:rFonts w:eastAsia="Lato"/>
        </w:rPr>
        <w:t xml:space="preserve"> en moet opdracht per opdracht overwogen worden</w:t>
      </w:r>
      <w:r w:rsidR="00BA12BB">
        <w:rPr>
          <w:rFonts w:eastAsia="Lato"/>
        </w:rPr>
        <w:t xml:space="preserve">. </w:t>
      </w:r>
      <w:r w:rsidR="00D2142C">
        <w:rPr>
          <w:rFonts w:eastAsia="Lato"/>
        </w:rPr>
        <w:t>Zo kan het b</w:t>
      </w:r>
      <w:r w:rsidR="00B32E67">
        <w:rPr>
          <w:rFonts w:eastAsia="Lato"/>
        </w:rPr>
        <w:t xml:space="preserve">ij sommige opdrachten </w:t>
      </w:r>
      <w:r w:rsidR="001A4340">
        <w:rPr>
          <w:rFonts w:eastAsia="Lato"/>
        </w:rPr>
        <w:t>aangewezen</w:t>
      </w:r>
      <w:r w:rsidR="0066312A">
        <w:rPr>
          <w:rFonts w:eastAsia="Lato"/>
        </w:rPr>
        <w:t xml:space="preserve"> zijn om bijvoorbeeld een maximumaantal van drie of vier </w:t>
      </w:r>
      <w:r w:rsidR="00DE7B4C">
        <w:rPr>
          <w:rFonts w:eastAsia="Lato"/>
        </w:rPr>
        <w:t xml:space="preserve">vast te leggen. </w:t>
      </w:r>
    </w:p>
    <w:p w14:paraId="64687E3A" w14:textId="75B3DD79" w:rsidR="003B2B42" w:rsidRDefault="003B2B42" w:rsidP="00D20157">
      <w:pPr>
        <w:rPr>
          <w:rFonts w:eastAsia="Lato" w:cs="Lato"/>
          <w:color w:val="000000" w:themeColor="text1"/>
        </w:rPr>
      </w:pPr>
      <w:r>
        <w:rPr>
          <w:rFonts w:eastAsia="Lato" w:cs="Lato"/>
          <w:color w:val="000000" w:themeColor="text1"/>
        </w:rPr>
        <w:t>Het is daarbij eveneens aangewezen om</w:t>
      </w:r>
      <w:r w:rsidR="004B4680">
        <w:rPr>
          <w:rFonts w:eastAsia="Lato" w:cs="Lato"/>
          <w:color w:val="000000" w:themeColor="text1"/>
        </w:rPr>
        <w:t>, na de uitvoering van de opdracht,</w:t>
      </w:r>
      <w:r>
        <w:rPr>
          <w:rFonts w:eastAsia="Lato" w:cs="Lato"/>
          <w:color w:val="000000" w:themeColor="text1"/>
        </w:rPr>
        <w:t xml:space="preserve"> het resulta</w:t>
      </w:r>
      <w:r w:rsidR="004B4680">
        <w:rPr>
          <w:rFonts w:eastAsia="Lato" w:cs="Lato"/>
          <w:color w:val="000000" w:themeColor="text1"/>
        </w:rPr>
        <w:t>at</w:t>
      </w:r>
      <w:r>
        <w:rPr>
          <w:rFonts w:eastAsia="Lato" w:cs="Lato"/>
          <w:color w:val="000000" w:themeColor="text1"/>
        </w:rPr>
        <w:t xml:space="preserve"> </w:t>
      </w:r>
      <w:r w:rsidR="004B4680">
        <w:rPr>
          <w:rFonts w:eastAsia="Lato" w:cs="Lato"/>
          <w:color w:val="000000" w:themeColor="text1"/>
        </w:rPr>
        <w:t xml:space="preserve">van </w:t>
      </w:r>
      <w:r w:rsidR="00CA1B57">
        <w:rPr>
          <w:rFonts w:eastAsia="Lato" w:cs="Lato"/>
          <w:color w:val="000000" w:themeColor="text1"/>
        </w:rPr>
        <w:t xml:space="preserve">het gekozen maximumaantal percelen te evalueren en er de nodige lessen uit te trekken. </w:t>
      </w:r>
    </w:p>
    <w:p w14:paraId="28358633" w14:textId="25CDD4C6" w:rsidR="00D20157" w:rsidRDefault="00D20157" w:rsidP="00D20157">
      <w:pPr>
        <w:rPr>
          <w:rFonts w:eastAsia="Lato" w:cs="Lato"/>
          <w:color w:val="000000" w:themeColor="text1"/>
        </w:rPr>
      </w:pPr>
      <w:r>
        <w:rPr>
          <w:rFonts w:eastAsia="Lato" w:cs="Lato"/>
          <w:color w:val="000000" w:themeColor="text1"/>
        </w:rPr>
        <w:t>Aanvullend</w:t>
      </w:r>
      <w:r w:rsidRPr="37397548">
        <w:rPr>
          <w:rFonts w:eastAsia="Lato" w:cs="Lato"/>
          <w:color w:val="000000" w:themeColor="text1"/>
        </w:rPr>
        <w:t xml:space="preserve"> voorziet de wetgever de mogelijkheid </w:t>
      </w:r>
      <w:r>
        <w:rPr>
          <w:rFonts w:eastAsia="Lato" w:cs="Lato"/>
          <w:color w:val="000000" w:themeColor="text1"/>
        </w:rPr>
        <w:t>voor</w:t>
      </w:r>
      <w:r w:rsidRPr="37397548">
        <w:rPr>
          <w:rFonts w:eastAsia="Lato" w:cs="Lato"/>
          <w:color w:val="000000" w:themeColor="text1"/>
        </w:rPr>
        <w:t xml:space="preserve"> de inschrijver </w:t>
      </w:r>
      <w:r>
        <w:rPr>
          <w:rFonts w:eastAsia="Lato" w:cs="Lato"/>
          <w:color w:val="000000" w:themeColor="text1"/>
        </w:rPr>
        <w:t xml:space="preserve">om </w:t>
      </w:r>
      <w:r w:rsidRPr="37397548">
        <w:rPr>
          <w:rFonts w:eastAsia="Lato" w:cs="Lato"/>
          <w:color w:val="000000" w:themeColor="text1"/>
        </w:rPr>
        <w:t>in zijn offertes voor meerdere percelen</w:t>
      </w:r>
      <w:r>
        <w:rPr>
          <w:rFonts w:eastAsia="Lato" w:cs="Lato"/>
          <w:color w:val="000000" w:themeColor="text1"/>
        </w:rPr>
        <w:t xml:space="preserve"> samen</w:t>
      </w:r>
      <w:r w:rsidRPr="37397548">
        <w:rPr>
          <w:rFonts w:eastAsia="Lato" w:cs="Lato"/>
          <w:color w:val="000000" w:themeColor="text1"/>
        </w:rPr>
        <w:t xml:space="preserve"> prijskortingen of verbeter</w:t>
      </w:r>
      <w:r>
        <w:rPr>
          <w:rFonts w:eastAsia="Lato" w:cs="Lato"/>
          <w:color w:val="000000" w:themeColor="text1"/>
        </w:rPr>
        <w:t>ings</w:t>
      </w:r>
      <w:r w:rsidRPr="37397548">
        <w:rPr>
          <w:rFonts w:eastAsia="Lato" w:cs="Lato"/>
          <w:color w:val="000000" w:themeColor="text1"/>
        </w:rPr>
        <w:t>voorstellen aan</w:t>
      </w:r>
      <w:r>
        <w:rPr>
          <w:rFonts w:eastAsia="Lato" w:cs="Lato"/>
          <w:color w:val="000000" w:themeColor="text1"/>
        </w:rPr>
        <w:t xml:space="preserve"> te </w:t>
      </w:r>
      <w:r w:rsidRPr="37397548">
        <w:rPr>
          <w:rFonts w:eastAsia="Lato" w:cs="Lato"/>
          <w:color w:val="000000" w:themeColor="text1"/>
        </w:rPr>
        <w:t>bieden, voor het geval deze percelen hem zouden worden gegund en voor zover de opdrachtdocumenten het niet verbieden. In dat geval wordt de economisch meest voordelige offerte bepaald rekening houdende met de prijsverminderingen of verbeter</w:t>
      </w:r>
      <w:r>
        <w:rPr>
          <w:rFonts w:eastAsia="Lato" w:cs="Lato"/>
          <w:color w:val="000000" w:themeColor="text1"/>
        </w:rPr>
        <w:t>ings</w:t>
      </w:r>
      <w:r w:rsidRPr="37397548">
        <w:rPr>
          <w:rFonts w:eastAsia="Lato" w:cs="Lato"/>
          <w:color w:val="000000" w:themeColor="text1"/>
        </w:rPr>
        <w:t xml:space="preserve">voorstellen voor bepaalde gegroepeerde percelen en met het economisch meest voordelige geheel van alle percelen. </w:t>
      </w:r>
    </w:p>
    <w:p w14:paraId="286A28B2" w14:textId="77777777" w:rsidR="00D20157" w:rsidRDefault="00D20157" w:rsidP="00D20157">
      <w:pPr>
        <w:rPr>
          <w:rFonts w:eastAsia="Lato" w:cs="Lato"/>
          <w:color w:val="000000" w:themeColor="text1"/>
        </w:rPr>
      </w:pPr>
      <w:r w:rsidRPr="4C4C29DD">
        <w:rPr>
          <w:rFonts w:eastAsia="Lato" w:cs="Lato"/>
          <w:color w:val="000000" w:themeColor="text1"/>
        </w:rPr>
        <w:t xml:space="preserve">Ervaring leert dat het vaak de grotere spelers zijn die hierop kunnen inspelen, wat dus een contraproductief effect kan veroorzaken voor de toegang van kmo’s. </w:t>
      </w:r>
      <w:r w:rsidRPr="4C4C29DD">
        <w:rPr>
          <w:rFonts w:eastAsia="Lato" w:cs="Lato"/>
          <w:b/>
          <w:bCs/>
          <w:color w:val="000000" w:themeColor="text1"/>
        </w:rPr>
        <w:t>Aanbesteders moeten dus goed reflecteren over de potentiële gevolgen van een dergelijke bepaling</w:t>
      </w:r>
      <w:r w:rsidRPr="4C4C29DD">
        <w:rPr>
          <w:rFonts w:eastAsia="Lato" w:cs="Lato"/>
          <w:color w:val="000000" w:themeColor="text1"/>
        </w:rPr>
        <w:t xml:space="preserve">, zeker bij een gunning (voornamelijk) op basis van prijs.   </w:t>
      </w:r>
    </w:p>
    <w:p w14:paraId="0BA80A29" w14:textId="6400B2A9" w:rsidR="00D20157" w:rsidRDefault="00D20157" w:rsidP="00D20157">
      <w:pPr>
        <w:rPr>
          <w:rFonts w:eastAsia="Lato" w:cs="Lato"/>
          <w:color w:val="000000" w:themeColor="text1"/>
        </w:rPr>
      </w:pPr>
      <w:r w:rsidRPr="00155C06">
        <w:rPr>
          <w:rFonts w:eastAsia="Lato" w:cs="Lato"/>
          <w:b/>
          <w:bCs/>
          <w:color w:val="000000" w:themeColor="text1"/>
        </w:rPr>
        <w:t>Probeer tot slot de selectiecriteria in de mate van het mogelijke tot een minimum te beperken</w:t>
      </w:r>
      <w:r w:rsidRPr="65581284">
        <w:rPr>
          <w:rFonts w:eastAsia="Lato" w:cs="Lato"/>
          <w:color w:val="000000" w:themeColor="text1"/>
        </w:rPr>
        <w:t xml:space="preserve">: </w:t>
      </w:r>
      <w:r w:rsidR="000D36E0">
        <w:rPr>
          <w:rFonts w:eastAsia="Lato" w:cs="Lato"/>
          <w:color w:val="000000" w:themeColor="text1"/>
        </w:rPr>
        <w:t>voor</w:t>
      </w:r>
      <w:r w:rsidRPr="65581284">
        <w:rPr>
          <w:rFonts w:eastAsia="Lato" w:cs="Lato"/>
          <w:color w:val="000000" w:themeColor="text1"/>
        </w:rPr>
        <w:t xml:space="preserve"> de kwalitatieve selectie geldt het minimale niveau dat vereist is voor elk perceel afzonderlijk. Concreet betekent dit dat er per perceel een minimaal niveau bepaald kan worden</w:t>
      </w:r>
      <w:r>
        <w:rPr>
          <w:rFonts w:eastAsia="Lato" w:cs="Lato"/>
          <w:color w:val="000000" w:themeColor="text1"/>
        </w:rPr>
        <w:t>,</w:t>
      </w:r>
      <w:r w:rsidRPr="65581284">
        <w:rPr>
          <w:rFonts w:eastAsia="Lato" w:cs="Lato"/>
          <w:color w:val="000000" w:themeColor="text1"/>
        </w:rPr>
        <w:t xml:space="preserve"> waardoor die niveaus automatisch meer behapbaar </w:t>
      </w:r>
      <w:r>
        <w:rPr>
          <w:rFonts w:eastAsia="Lato" w:cs="Lato"/>
          <w:color w:val="000000" w:themeColor="text1"/>
        </w:rPr>
        <w:t xml:space="preserve">zouden moeten </w:t>
      </w:r>
      <w:r w:rsidRPr="65581284">
        <w:rPr>
          <w:rFonts w:eastAsia="Lato" w:cs="Lato"/>
          <w:color w:val="000000" w:themeColor="text1"/>
        </w:rPr>
        <w:t>worden voor een kleine onderneming. D</w:t>
      </w:r>
      <w:r>
        <w:rPr>
          <w:rFonts w:eastAsia="Lato" w:cs="Lato"/>
          <w:color w:val="000000" w:themeColor="text1"/>
        </w:rPr>
        <w:t>a</w:t>
      </w:r>
      <w:r w:rsidRPr="65581284">
        <w:rPr>
          <w:rFonts w:eastAsia="Lato" w:cs="Lato"/>
          <w:color w:val="000000" w:themeColor="text1"/>
        </w:rPr>
        <w:t xml:space="preserve">t geldt dus ook voor de eisen inzake economische en financiële draagkracht (jaarrekeningen, omzet, verzekeringen, …), waar kmo’s niet altijd even eenvoudig aan kunnen voldoen. </w:t>
      </w:r>
    </w:p>
    <w:p w14:paraId="489A8409" w14:textId="17B603E0" w:rsidR="00D20157" w:rsidRDefault="00D20157" w:rsidP="00D20157">
      <w:pPr>
        <w:rPr>
          <w:rFonts w:eastAsia="Lato" w:cs="Lato"/>
          <w:color w:val="000000" w:themeColor="text1"/>
        </w:rPr>
      </w:pPr>
      <w:r w:rsidRPr="4C4C29DD">
        <w:rPr>
          <w:rFonts w:eastAsia="Lato" w:cs="Lato"/>
          <w:color w:val="000000" w:themeColor="text1"/>
        </w:rPr>
        <w:t xml:space="preserve">De aanbesteder kan de eis van een verplichte minimumjaaromzet echter wel vaststellen ten aanzien van groepen van percelen, ingeval de inschrijver verschillende percelen gegund krijgt die tegelijkertijd moeten </w:t>
      </w:r>
      <w:r w:rsidRPr="001A18AD">
        <w:rPr>
          <w:rFonts w:eastAsia="Lato" w:cs="Lato"/>
          <w:color w:val="000000" w:themeColor="text1"/>
        </w:rPr>
        <w:t xml:space="preserve">worden uitgevoerd. Een andere optie is om dergelijke criteria helemaal niet op te leggen; zie principe </w:t>
      </w:r>
      <w:r w:rsidR="00CC2BD3" w:rsidRPr="001A18AD">
        <w:rPr>
          <w:rFonts w:eastAsia="Lato" w:cs="Lato"/>
          <w:color w:val="000000" w:themeColor="text1"/>
        </w:rPr>
        <w:t>8</w:t>
      </w:r>
      <w:r w:rsidRPr="001A18AD">
        <w:rPr>
          <w:rFonts w:eastAsia="Lato" w:cs="Lato"/>
          <w:color w:val="000000" w:themeColor="text1"/>
        </w:rPr>
        <w:t xml:space="preserve"> voor meer</w:t>
      </w:r>
      <w:r w:rsidRPr="4C4C29DD">
        <w:rPr>
          <w:rFonts w:eastAsia="Lato" w:cs="Lato"/>
          <w:color w:val="000000" w:themeColor="text1"/>
        </w:rPr>
        <w:t xml:space="preserve"> informatie daarover en meer in het algemeen over het gebruik van proportionele selectiecriteria. </w:t>
      </w:r>
    </w:p>
    <w:p w14:paraId="7FF04337" w14:textId="77777777" w:rsidR="00DC571F" w:rsidRPr="007C530A" w:rsidRDefault="00DC571F">
      <w:pPr>
        <w:pStyle w:val="Kop3"/>
        <w:rPr>
          <w:rFonts w:eastAsia="Lato"/>
        </w:rPr>
      </w:pPr>
      <w:bookmarkStart w:id="98" w:name="_Toc135839968"/>
      <w:bookmarkStart w:id="99" w:name="_Toc150870573"/>
      <w:r w:rsidRPr="007C530A">
        <w:rPr>
          <w:rFonts w:eastAsia="Lato"/>
        </w:rPr>
        <w:t>Samenvatting en alternatieven</w:t>
      </w:r>
      <w:bookmarkEnd w:id="98"/>
      <w:bookmarkEnd w:id="99"/>
    </w:p>
    <w:p w14:paraId="3F4F8659" w14:textId="77777777" w:rsidR="00DC571F" w:rsidRDefault="00DC571F" w:rsidP="00DC571F">
      <w:pPr>
        <w:rPr>
          <w:rFonts w:eastAsia="Lato" w:cs="Lato"/>
          <w:color w:val="000000" w:themeColor="text1"/>
        </w:rPr>
      </w:pPr>
      <w:r w:rsidRPr="6F2DC8B8">
        <w:rPr>
          <w:rFonts w:eastAsia="Lato" w:cs="Lato"/>
          <w:color w:val="000000" w:themeColor="text1"/>
        </w:rPr>
        <w:t>Volgende tabel vat de voornaamste voor- en nadelen van een verdeling in percelen samen:</w:t>
      </w:r>
    </w:p>
    <w:p w14:paraId="13763DA4" w14:textId="61CD58C2" w:rsidR="001E428E" w:rsidRPr="00621A87" w:rsidRDefault="00621A87" w:rsidP="00621A87">
      <w:pPr>
        <w:pStyle w:val="Table-H1"/>
      </w:pPr>
      <w:r>
        <w:t>Tabel 1 – De verdeling in percelen: voor- en nadelen</w:t>
      </w:r>
    </w:p>
    <w:tbl>
      <w:tblPr>
        <w:tblStyle w:val="Tabelraster"/>
        <w:tblW w:w="5000" w:type="pct"/>
        <w:tblLook w:val="04A0" w:firstRow="1" w:lastRow="0" w:firstColumn="1" w:lastColumn="0" w:noHBand="0" w:noVBand="1"/>
      </w:tblPr>
      <w:tblGrid>
        <w:gridCol w:w="4272"/>
        <w:gridCol w:w="4222"/>
      </w:tblGrid>
      <w:tr w:rsidR="00DC571F" w:rsidRPr="001F56CE" w14:paraId="4A453F43" w14:textId="77777777" w:rsidTr="001E428E">
        <w:trPr>
          <w:trHeight w:val="300"/>
        </w:trPr>
        <w:tc>
          <w:tcPr>
            <w:tcW w:w="2515" w:type="pct"/>
            <w:shd w:val="clear" w:color="auto" w:fill="D9D9D9" w:themeFill="background1" w:themeFillShade="D9"/>
          </w:tcPr>
          <w:p w14:paraId="68E1D76D" w14:textId="77777777" w:rsidR="00DC571F" w:rsidRPr="001F56CE" w:rsidRDefault="00DC571F" w:rsidP="00763E4C">
            <w:pPr>
              <w:jc w:val="center"/>
              <w:rPr>
                <w:rFonts w:eastAsia="Lato" w:cs="Lato"/>
                <w:b/>
                <w:bCs/>
                <w:color w:val="000000" w:themeColor="text1"/>
              </w:rPr>
            </w:pPr>
            <w:r w:rsidRPr="65581284">
              <w:rPr>
                <w:rFonts w:eastAsia="Lato" w:cs="Lato"/>
                <w:b/>
                <w:bCs/>
                <w:color w:val="000000" w:themeColor="text1"/>
              </w:rPr>
              <w:t>Voordelen</w:t>
            </w:r>
          </w:p>
        </w:tc>
        <w:tc>
          <w:tcPr>
            <w:tcW w:w="2485" w:type="pct"/>
            <w:shd w:val="clear" w:color="auto" w:fill="D9D9D9" w:themeFill="background1" w:themeFillShade="D9"/>
          </w:tcPr>
          <w:p w14:paraId="3B125B4C" w14:textId="77777777" w:rsidR="00DC571F" w:rsidRPr="001F56CE" w:rsidRDefault="00DC571F" w:rsidP="00763E4C">
            <w:pPr>
              <w:jc w:val="center"/>
              <w:rPr>
                <w:rFonts w:eastAsia="Lato" w:cs="Lato"/>
                <w:b/>
                <w:bCs/>
                <w:color w:val="000000" w:themeColor="text1"/>
              </w:rPr>
            </w:pPr>
            <w:r w:rsidRPr="6F2DC8B8">
              <w:rPr>
                <w:rFonts w:eastAsia="Lato" w:cs="Lato"/>
                <w:b/>
                <w:bCs/>
                <w:color w:val="000000" w:themeColor="text1"/>
              </w:rPr>
              <w:t>Nadelen</w:t>
            </w:r>
          </w:p>
        </w:tc>
      </w:tr>
      <w:tr w:rsidR="00DC571F" w:rsidRPr="001F56CE" w14:paraId="0F936E2A" w14:textId="77777777" w:rsidTr="00E07D5A">
        <w:trPr>
          <w:trHeight w:val="300"/>
        </w:trPr>
        <w:tc>
          <w:tcPr>
            <w:tcW w:w="2515" w:type="pct"/>
          </w:tcPr>
          <w:p w14:paraId="5D98C036" w14:textId="77777777" w:rsidR="00DC571F" w:rsidRPr="001F56CE" w:rsidRDefault="00DC571F" w:rsidP="007B1524">
            <w:pPr>
              <w:jc w:val="left"/>
              <w:rPr>
                <w:rFonts w:eastAsia="Lato" w:cs="Lato"/>
                <w:color w:val="000000" w:themeColor="text1"/>
              </w:rPr>
            </w:pPr>
            <w:r w:rsidRPr="65581284">
              <w:rPr>
                <w:rFonts w:eastAsia="Lato" w:cs="Lato"/>
                <w:color w:val="000000" w:themeColor="text1"/>
              </w:rPr>
              <w:t>Op maat (passende aanbestedingsprocedures)</w:t>
            </w:r>
          </w:p>
        </w:tc>
        <w:tc>
          <w:tcPr>
            <w:tcW w:w="2485" w:type="pct"/>
          </w:tcPr>
          <w:p w14:paraId="4812AD69" w14:textId="77777777" w:rsidR="00DC571F" w:rsidRPr="001F56CE" w:rsidRDefault="00DC571F" w:rsidP="007B1524">
            <w:pPr>
              <w:jc w:val="left"/>
              <w:rPr>
                <w:rFonts w:eastAsia="Lato" w:cs="Lato"/>
                <w:color w:val="000000" w:themeColor="text1"/>
              </w:rPr>
            </w:pPr>
            <w:r>
              <w:rPr>
                <w:rFonts w:eastAsia="Lato" w:cs="Lato"/>
                <w:color w:val="000000" w:themeColor="text1"/>
              </w:rPr>
              <w:t>Extra a</w:t>
            </w:r>
            <w:r w:rsidRPr="6F2DC8B8">
              <w:rPr>
                <w:rFonts w:eastAsia="Lato" w:cs="Lato"/>
                <w:color w:val="000000" w:themeColor="text1"/>
              </w:rPr>
              <w:t>dministratieve lasten</w:t>
            </w:r>
          </w:p>
        </w:tc>
      </w:tr>
      <w:tr w:rsidR="00DC571F" w:rsidRPr="001F56CE" w14:paraId="782FD44A" w14:textId="77777777" w:rsidTr="00E07D5A">
        <w:trPr>
          <w:trHeight w:val="300"/>
        </w:trPr>
        <w:tc>
          <w:tcPr>
            <w:tcW w:w="2515" w:type="pct"/>
          </w:tcPr>
          <w:p w14:paraId="25F5ECA5" w14:textId="77777777" w:rsidR="00DC571F" w:rsidRPr="001F56CE" w:rsidRDefault="00DC571F" w:rsidP="007B1524">
            <w:pPr>
              <w:jc w:val="left"/>
              <w:rPr>
                <w:rFonts w:eastAsia="Lato" w:cs="Lato"/>
                <w:color w:val="000000" w:themeColor="text1"/>
              </w:rPr>
            </w:pPr>
            <w:r>
              <w:rPr>
                <w:rFonts w:eastAsia="Lato" w:cs="Lato"/>
                <w:color w:val="000000" w:themeColor="text1"/>
              </w:rPr>
              <w:t>Verhoogde</w:t>
            </w:r>
            <w:r w:rsidRPr="65581284">
              <w:rPr>
                <w:rFonts w:eastAsia="Lato" w:cs="Lato"/>
                <w:color w:val="000000" w:themeColor="text1"/>
              </w:rPr>
              <w:t xml:space="preserve"> concurrentie en meer diversiteit</w:t>
            </w:r>
            <w:r>
              <w:rPr>
                <w:rFonts w:eastAsia="Lato" w:cs="Lato"/>
                <w:color w:val="000000" w:themeColor="text1"/>
              </w:rPr>
              <w:t xml:space="preserve"> onder de opdrachtnemers</w:t>
            </w:r>
          </w:p>
        </w:tc>
        <w:tc>
          <w:tcPr>
            <w:tcW w:w="2485" w:type="pct"/>
          </w:tcPr>
          <w:p w14:paraId="66842FEF" w14:textId="77777777" w:rsidR="00DC571F" w:rsidRPr="001F56CE" w:rsidRDefault="00DC571F" w:rsidP="007B1524">
            <w:pPr>
              <w:jc w:val="left"/>
              <w:rPr>
                <w:rFonts w:eastAsia="Lato" w:cs="Lato"/>
                <w:color w:val="000000" w:themeColor="text1"/>
              </w:rPr>
            </w:pPr>
            <w:r w:rsidRPr="6F2DC8B8">
              <w:rPr>
                <w:rFonts w:eastAsia="Lato" w:cs="Lato"/>
                <w:color w:val="000000" w:themeColor="text1"/>
              </w:rPr>
              <w:t>Uitvoering vraagt meer coördinatie</w:t>
            </w:r>
          </w:p>
        </w:tc>
      </w:tr>
      <w:tr w:rsidR="00DC571F" w:rsidRPr="009279CF" w14:paraId="2A6D5D28" w14:textId="77777777" w:rsidTr="00E07D5A">
        <w:trPr>
          <w:trHeight w:val="300"/>
        </w:trPr>
        <w:tc>
          <w:tcPr>
            <w:tcW w:w="2515" w:type="pct"/>
          </w:tcPr>
          <w:p w14:paraId="5DF00D5F" w14:textId="77777777" w:rsidR="00DC571F" w:rsidRPr="001F56CE" w:rsidRDefault="00DC571F" w:rsidP="007B1524">
            <w:pPr>
              <w:jc w:val="left"/>
              <w:rPr>
                <w:rFonts w:eastAsia="Lato" w:cs="Lato"/>
                <w:color w:val="000000" w:themeColor="text1"/>
              </w:rPr>
            </w:pPr>
            <w:r w:rsidRPr="65581284">
              <w:rPr>
                <w:rFonts w:eastAsia="Lato" w:cs="Lato"/>
                <w:color w:val="000000" w:themeColor="text1"/>
              </w:rPr>
              <w:t>Betere kwaliteitscontrole</w:t>
            </w:r>
          </w:p>
        </w:tc>
        <w:tc>
          <w:tcPr>
            <w:tcW w:w="2485" w:type="pct"/>
          </w:tcPr>
          <w:p w14:paraId="5D3DE454" w14:textId="7D96BEB4" w:rsidR="00DC571F" w:rsidRPr="001F56CE" w:rsidRDefault="00DC571F" w:rsidP="007B1524">
            <w:pPr>
              <w:jc w:val="left"/>
              <w:rPr>
                <w:rFonts w:eastAsia="Lato" w:cs="Lato"/>
                <w:color w:val="000000" w:themeColor="text1"/>
              </w:rPr>
            </w:pPr>
            <w:r w:rsidRPr="65581284">
              <w:rPr>
                <w:rFonts w:eastAsia="Lato" w:cs="Lato"/>
                <w:color w:val="000000" w:themeColor="text1"/>
              </w:rPr>
              <w:t xml:space="preserve">Risico op </w:t>
            </w:r>
            <w:r w:rsidR="007B1524">
              <w:rPr>
                <w:rFonts w:eastAsia="Lato" w:cs="Lato"/>
                <w:color w:val="000000" w:themeColor="text1"/>
              </w:rPr>
              <w:t xml:space="preserve">het </w:t>
            </w:r>
            <w:r w:rsidRPr="65581284">
              <w:rPr>
                <w:rFonts w:eastAsia="Lato" w:cs="Lato"/>
                <w:color w:val="000000" w:themeColor="text1"/>
              </w:rPr>
              <w:t>verwater</w:t>
            </w:r>
            <w:r w:rsidR="007B1524">
              <w:rPr>
                <w:rFonts w:eastAsia="Lato" w:cs="Lato"/>
                <w:color w:val="000000" w:themeColor="text1"/>
              </w:rPr>
              <w:t>en</w:t>
            </w:r>
            <w:r w:rsidRPr="65581284">
              <w:rPr>
                <w:rFonts w:eastAsia="Lato" w:cs="Lato"/>
                <w:color w:val="000000" w:themeColor="text1"/>
              </w:rPr>
              <w:t xml:space="preserve"> van</w:t>
            </w:r>
            <w:r w:rsidR="00E94D8B">
              <w:rPr>
                <w:rFonts w:eastAsia="Lato" w:cs="Lato"/>
                <w:color w:val="000000" w:themeColor="text1"/>
              </w:rPr>
              <w:t xml:space="preserve"> de</w:t>
            </w:r>
            <w:r w:rsidRPr="65581284">
              <w:rPr>
                <w:rFonts w:eastAsia="Lato" w:cs="Lato"/>
                <w:color w:val="000000" w:themeColor="text1"/>
              </w:rPr>
              <w:t xml:space="preserve"> verantwoordelijkheden</w:t>
            </w:r>
          </w:p>
        </w:tc>
      </w:tr>
      <w:tr w:rsidR="00DC571F" w:rsidRPr="009279CF" w14:paraId="66635C7E" w14:textId="77777777" w:rsidTr="00E07D5A">
        <w:trPr>
          <w:trHeight w:val="300"/>
        </w:trPr>
        <w:tc>
          <w:tcPr>
            <w:tcW w:w="2515" w:type="pct"/>
          </w:tcPr>
          <w:p w14:paraId="409B9DED" w14:textId="77777777" w:rsidR="00DC571F" w:rsidRPr="001F56CE" w:rsidRDefault="00DC571F" w:rsidP="007B1524">
            <w:pPr>
              <w:jc w:val="left"/>
              <w:rPr>
                <w:rFonts w:eastAsia="Lato" w:cs="Lato"/>
                <w:color w:val="000000" w:themeColor="text1"/>
              </w:rPr>
            </w:pPr>
            <w:r w:rsidRPr="65581284">
              <w:rPr>
                <w:rFonts w:eastAsia="Lato" w:cs="Lato"/>
                <w:color w:val="000000" w:themeColor="text1"/>
              </w:rPr>
              <w:t>Potentieel versnelde uitvoering</w:t>
            </w:r>
          </w:p>
        </w:tc>
        <w:tc>
          <w:tcPr>
            <w:tcW w:w="2485" w:type="pct"/>
          </w:tcPr>
          <w:p w14:paraId="2D065122" w14:textId="77777777" w:rsidR="00DC571F" w:rsidRPr="001F56CE" w:rsidRDefault="00DC571F" w:rsidP="007B1524">
            <w:pPr>
              <w:jc w:val="left"/>
              <w:rPr>
                <w:rFonts w:eastAsia="Lato" w:cs="Lato"/>
                <w:color w:val="000000" w:themeColor="text1"/>
              </w:rPr>
            </w:pPr>
            <w:r w:rsidRPr="4C4C29DD">
              <w:rPr>
                <w:rFonts w:eastAsia="Lato" w:cs="Lato"/>
                <w:color w:val="000000" w:themeColor="text1"/>
              </w:rPr>
              <w:t>Risico dat enkel voor “aantrekkelijke” percelen offertes ingediend worden</w:t>
            </w:r>
          </w:p>
        </w:tc>
      </w:tr>
      <w:tr w:rsidR="00DC571F" w:rsidRPr="009279CF" w14:paraId="43241842" w14:textId="77777777" w:rsidTr="00E07D5A">
        <w:trPr>
          <w:trHeight w:val="300"/>
        </w:trPr>
        <w:tc>
          <w:tcPr>
            <w:tcW w:w="2515" w:type="pct"/>
          </w:tcPr>
          <w:p w14:paraId="0CE03122" w14:textId="77777777" w:rsidR="00DC571F" w:rsidRDefault="00DC571F" w:rsidP="007B1524">
            <w:pPr>
              <w:jc w:val="left"/>
              <w:rPr>
                <w:rFonts w:eastAsia="Lato" w:cs="Lato"/>
                <w:color w:val="000000" w:themeColor="text1"/>
              </w:rPr>
            </w:pPr>
            <w:r w:rsidRPr="65581284">
              <w:rPr>
                <w:rFonts w:eastAsia="Lato" w:cs="Lato"/>
                <w:color w:val="000000" w:themeColor="text1"/>
              </w:rPr>
              <w:t>Omvang beter afgestemd op de capaciteit(en) van kmo’s</w:t>
            </w:r>
          </w:p>
        </w:tc>
        <w:tc>
          <w:tcPr>
            <w:tcW w:w="2485" w:type="pct"/>
            <w:vMerge w:val="restart"/>
            <w:shd w:val="clear" w:color="auto" w:fill="F2F2F2" w:themeFill="background1" w:themeFillShade="F2"/>
          </w:tcPr>
          <w:p w14:paraId="0FC99349" w14:textId="77777777" w:rsidR="00DC571F" w:rsidRDefault="00DC571F" w:rsidP="00763E4C">
            <w:pPr>
              <w:rPr>
                <w:rFonts w:eastAsia="Lato" w:cs="Lato"/>
                <w:color w:val="000000" w:themeColor="text1"/>
              </w:rPr>
            </w:pPr>
          </w:p>
        </w:tc>
      </w:tr>
      <w:tr w:rsidR="00DC571F" w:rsidRPr="009279CF" w14:paraId="1A691E79" w14:textId="77777777" w:rsidTr="00E07D5A">
        <w:trPr>
          <w:trHeight w:val="300"/>
        </w:trPr>
        <w:tc>
          <w:tcPr>
            <w:tcW w:w="2515" w:type="pct"/>
          </w:tcPr>
          <w:p w14:paraId="5AC3736B" w14:textId="77777777" w:rsidR="00DC571F" w:rsidRDefault="00DC571F" w:rsidP="007B1524">
            <w:pPr>
              <w:jc w:val="left"/>
              <w:rPr>
                <w:rFonts w:eastAsia="Lato" w:cs="Lato"/>
                <w:color w:val="000000" w:themeColor="text1"/>
              </w:rPr>
            </w:pPr>
            <w:r w:rsidRPr="65581284">
              <w:rPr>
                <w:rFonts w:eastAsia="Lato" w:cs="Lato"/>
                <w:color w:val="000000" w:themeColor="text1"/>
              </w:rPr>
              <w:t>Beter beheer van budgettaire middelen</w:t>
            </w:r>
          </w:p>
        </w:tc>
        <w:tc>
          <w:tcPr>
            <w:tcW w:w="2485" w:type="pct"/>
            <w:vMerge/>
          </w:tcPr>
          <w:p w14:paraId="172FA8BD" w14:textId="77777777" w:rsidR="00DC571F" w:rsidRDefault="00DC571F" w:rsidP="00763E4C">
            <w:pPr>
              <w:rPr>
                <w:rFonts w:eastAsia="Lato" w:cs="Lato"/>
                <w:color w:val="000000" w:themeColor="text1"/>
              </w:rPr>
            </w:pPr>
          </w:p>
        </w:tc>
      </w:tr>
      <w:tr w:rsidR="00DC571F" w:rsidRPr="009279CF" w14:paraId="071B267E" w14:textId="77777777" w:rsidTr="00E07D5A">
        <w:trPr>
          <w:trHeight w:val="300"/>
        </w:trPr>
        <w:tc>
          <w:tcPr>
            <w:tcW w:w="2515" w:type="pct"/>
          </w:tcPr>
          <w:p w14:paraId="4DC2CA31" w14:textId="77777777" w:rsidR="00DC571F" w:rsidRDefault="00DC571F" w:rsidP="007B1524">
            <w:pPr>
              <w:jc w:val="left"/>
              <w:rPr>
                <w:rFonts w:eastAsia="Lato" w:cs="Lato"/>
                <w:color w:val="000000" w:themeColor="text1"/>
              </w:rPr>
            </w:pPr>
            <w:r w:rsidRPr="052A3154">
              <w:rPr>
                <w:rFonts w:eastAsia="Lato" w:cs="Lato"/>
                <w:color w:val="000000" w:themeColor="text1"/>
              </w:rPr>
              <w:t>Afhankelijkheid van één leverancier verminderen</w:t>
            </w:r>
          </w:p>
        </w:tc>
        <w:tc>
          <w:tcPr>
            <w:tcW w:w="2485" w:type="pct"/>
            <w:vMerge/>
          </w:tcPr>
          <w:p w14:paraId="44D3A985" w14:textId="77777777" w:rsidR="00DC571F" w:rsidRDefault="00DC571F" w:rsidP="00763E4C">
            <w:pPr>
              <w:rPr>
                <w:rFonts w:eastAsia="Lato" w:cs="Lato"/>
                <w:color w:val="000000" w:themeColor="text1"/>
              </w:rPr>
            </w:pPr>
          </w:p>
        </w:tc>
      </w:tr>
      <w:tr w:rsidR="00DC571F" w:rsidRPr="009279CF" w14:paraId="276C7B56" w14:textId="77777777" w:rsidTr="00E07D5A">
        <w:trPr>
          <w:trHeight w:val="300"/>
        </w:trPr>
        <w:tc>
          <w:tcPr>
            <w:tcW w:w="2515" w:type="pct"/>
          </w:tcPr>
          <w:p w14:paraId="37A054B7" w14:textId="63A23699" w:rsidR="00DC571F" w:rsidRDefault="00DC571F" w:rsidP="007B1524">
            <w:pPr>
              <w:jc w:val="left"/>
              <w:rPr>
                <w:rFonts w:eastAsia="Lato" w:cs="Lato"/>
                <w:color w:val="000000" w:themeColor="text1"/>
              </w:rPr>
            </w:pPr>
            <w:r w:rsidRPr="052A3154">
              <w:rPr>
                <w:rFonts w:eastAsia="Lato" w:cs="Lato"/>
                <w:color w:val="000000" w:themeColor="text1"/>
              </w:rPr>
              <w:lastRenderedPageBreak/>
              <w:t xml:space="preserve">Evolutie naar meer open en </w:t>
            </w:r>
            <w:r w:rsidR="00605278">
              <w:rPr>
                <w:rFonts w:eastAsia="Lato" w:cs="Lato"/>
                <w:color w:val="000000" w:themeColor="text1"/>
              </w:rPr>
              <w:t>(onderling) uitwisselbare</w:t>
            </w:r>
            <w:r w:rsidR="00605278" w:rsidRPr="052A3154">
              <w:rPr>
                <w:rFonts w:eastAsia="Lato" w:cs="Lato"/>
                <w:color w:val="000000" w:themeColor="text1"/>
              </w:rPr>
              <w:t xml:space="preserve"> </w:t>
            </w:r>
            <w:r w:rsidRPr="052A3154">
              <w:rPr>
                <w:rFonts w:eastAsia="Lato" w:cs="Lato"/>
                <w:color w:val="000000" w:themeColor="text1"/>
              </w:rPr>
              <w:t>oplossingen</w:t>
            </w:r>
          </w:p>
        </w:tc>
        <w:tc>
          <w:tcPr>
            <w:tcW w:w="2485" w:type="pct"/>
            <w:vMerge/>
          </w:tcPr>
          <w:p w14:paraId="1CDEB903" w14:textId="77777777" w:rsidR="00DC571F" w:rsidRDefault="00DC571F" w:rsidP="00763E4C">
            <w:pPr>
              <w:rPr>
                <w:rFonts w:eastAsia="Lato" w:cs="Lato"/>
                <w:color w:val="000000" w:themeColor="text1"/>
              </w:rPr>
            </w:pPr>
          </w:p>
        </w:tc>
      </w:tr>
    </w:tbl>
    <w:p w14:paraId="07C46484" w14:textId="0813235F" w:rsidR="00DC571F" w:rsidRPr="001F56CE" w:rsidRDefault="00DC571F" w:rsidP="007C530A">
      <w:r w:rsidRPr="00140FF2">
        <w:rPr>
          <w:b/>
          <w:bCs/>
        </w:rPr>
        <w:t>Samenvattend stelt het charter dat de verdeling in percelen bij élke opdracht sterk overwogen dient te worden</w:t>
      </w:r>
      <w:r w:rsidRPr="5FEC7BED">
        <w:t xml:space="preserve">, rekening houdend met de aard en </w:t>
      </w:r>
      <w:r w:rsidR="00FF5D5D">
        <w:t xml:space="preserve">de </w:t>
      </w:r>
      <w:r w:rsidRPr="5FEC7BED">
        <w:t xml:space="preserve">complexiteit van de opdracht, maar ook met mogelijke neveneffecten. </w:t>
      </w:r>
      <w:r w:rsidRPr="00770959">
        <w:rPr>
          <w:b/>
          <w:bCs/>
          <w:color w:val="0070C0"/>
        </w:rPr>
        <w:t>Het is immers zo dat een verdeling in percelen niet per se zaligmakend is en er nog andere alternatieven zijn om de toegang van kmo’s te stimuleren</w:t>
      </w:r>
      <w:r w:rsidRPr="0033704D">
        <w:rPr>
          <w:b/>
          <w:bCs/>
          <w:color w:val="0070C0"/>
        </w:rPr>
        <w:t>.</w:t>
      </w:r>
      <w:r w:rsidRPr="5FEC7BED">
        <w:t xml:space="preserve"> </w:t>
      </w:r>
    </w:p>
    <w:p w14:paraId="1450E05E" w14:textId="13A5849A" w:rsidR="00DC571F" w:rsidRPr="001F56CE" w:rsidRDefault="00DC571F" w:rsidP="007C530A">
      <w:r w:rsidRPr="4C4C29DD">
        <w:t xml:space="preserve">Zo is het bijvoorbeeld mogelijk om te voorzien in kleinere, afzonderlijke opdrachten in plaats van grote, allesomvattende opdrachten met verschillende percelen. Denk daarbij bijvoorbeeld aan een opdracht op het gebied van catering, waar een afzonderlijke opdracht kan worden voorzien voor elke productcategorie (vlees, vis, groenten, zuivelproducten, ...). </w:t>
      </w:r>
    </w:p>
    <w:p w14:paraId="7DBC2367" w14:textId="359DA720" w:rsidR="00DC571F" w:rsidRPr="001F56CE" w:rsidRDefault="00DC571F" w:rsidP="007C530A">
      <w:r w:rsidRPr="6F2DC8B8">
        <w:t>Daarnaast kan er, vanuit de</w:t>
      </w:r>
      <w:r w:rsidR="00BF0977">
        <w:t xml:space="preserve"> gedeelde</w:t>
      </w:r>
      <w:r w:rsidRPr="6F2DC8B8">
        <w:t xml:space="preserve"> </w:t>
      </w:r>
      <w:r w:rsidR="004B18E9">
        <w:t>doelstelling</w:t>
      </w:r>
      <w:r w:rsidR="004B18E9" w:rsidRPr="6F2DC8B8">
        <w:t xml:space="preserve"> </w:t>
      </w:r>
      <w:r w:rsidRPr="6F2DC8B8">
        <w:t>“de toegang van lokale kmo’s stimuleren”</w:t>
      </w:r>
      <w:r w:rsidR="00EA58A3">
        <w:t>,</w:t>
      </w:r>
      <w:r w:rsidRPr="6F2DC8B8">
        <w:t xml:space="preserve"> verwezen worden naar de </w:t>
      </w:r>
      <w:r w:rsidR="006F07FD">
        <w:t>“</w:t>
      </w:r>
      <w:r w:rsidRPr="6F2DC8B8">
        <w:t>voorbehouden opdrachten</w:t>
      </w:r>
      <w:r w:rsidR="006F07FD">
        <w:t>”</w:t>
      </w:r>
      <w:r w:rsidRPr="6F2DC8B8">
        <w:t xml:space="preserve"> in de regelgeving overheidsopdrachten.</w:t>
      </w:r>
      <w:r w:rsidR="00C07B69">
        <w:t xml:space="preserve"> </w:t>
      </w:r>
    </w:p>
    <w:p w14:paraId="35A71B88" w14:textId="53DB05A9" w:rsidR="00DC571F" w:rsidRPr="001F56CE" w:rsidRDefault="00DC571F" w:rsidP="007C530A">
      <w:r w:rsidRPr="6F2DC8B8">
        <w:t>Art</w:t>
      </w:r>
      <w:r>
        <w:t>ikel</w:t>
      </w:r>
      <w:r w:rsidRPr="6F2DC8B8">
        <w:t xml:space="preserve"> 15 van de wet van 17 juni 2016 laat aanbesteders toe om de toegang tot de plaatsingsprocedure voor te behouden aan sociale werkplaatsen en aan ondernemers die de maatschappelijke en professionele integratie van gehandicapten of kansarmen tot doel hebben. Daarnaast biedt dit artikel de mogelijkheid om (een deel van) de uitvoering van de overheidsopdracht voor te behouden in het kader van programma’s voor beschermde arbeid. </w:t>
      </w:r>
    </w:p>
    <w:p w14:paraId="66D806A6" w14:textId="1C9EBBE9" w:rsidR="00DC571F" w:rsidRDefault="00DC571F" w:rsidP="007C530A">
      <w:r w:rsidRPr="541C94C9">
        <w:t>Het is</w:t>
      </w:r>
      <w:r w:rsidR="003A461A">
        <w:t xml:space="preserve"> immers</w:t>
      </w:r>
      <w:r w:rsidRPr="541C94C9">
        <w:t xml:space="preserve"> mogelijk dat dergelijke werkplaatsen of ondernemingen er bij normale mededingingsvoorwaarden niet in slagen om opdrachten toegewezen te krijgen. Vandaar dan ook dat in de betrokken bepaling omtrent het voorbehouden van opdrachten werd voorzien. Het voorgaande belet niet dat de in dit kader geplaatste opdrachten nog steeds moeten voldoen aan de algemene voorschriften en beginselen van de reglementering overheidsopdrachten.</w:t>
      </w:r>
    </w:p>
    <w:p w14:paraId="545009AA" w14:textId="3478870C" w:rsidR="008F7508" w:rsidRPr="001F56CE" w:rsidRDefault="00CC14DF" w:rsidP="007C530A">
      <w:r w:rsidRPr="00CC14DF">
        <w:t>Minstens dertig procent van de werknemers van deze werkplaatsen, ondernemingen of programma’s moeten gehandicapte of kansarme werknemers zijn.</w:t>
      </w:r>
    </w:p>
    <w:p w14:paraId="659AF9E6" w14:textId="77777777" w:rsidR="00924510" w:rsidRDefault="00DC571F" w:rsidP="007C530A">
      <w:r w:rsidRPr="6F2DC8B8">
        <w:t>Art</w:t>
      </w:r>
      <w:r>
        <w:t>ikel</w:t>
      </w:r>
      <w:r w:rsidRPr="6F2DC8B8">
        <w:t xml:space="preserve"> 38 van de wet laat toe om </w:t>
      </w:r>
      <w:r>
        <w:t>bij</w:t>
      </w:r>
      <w:r w:rsidRPr="6F2DC8B8">
        <w:t xml:space="preserve"> voorbehouden opdrachten steeds gebruik te maken van de mededingingsprocedure met onderhandeling indien de geraamde waarde van de opdracht de Europese drempel niet bereikt.</w:t>
      </w:r>
      <w:r w:rsidR="00D81F8E">
        <w:t xml:space="preserve"> Zie </w:t>
      </w:r>
      <w:r w:rsidR="00D81F8E" w:rsidRPr="001A18AD">
        <w:t>principe 3 voor meer informatie over die procedure.</w:t>
      </w:r>
    </w:p>
    <w:p w14:paraId="0883EAC5" w14:textId="40A368D7" w:rsidR="00DC571F" w:rsidRPr="001A18AD" w:rsidRDefault="00924510" w:rsidP="007C530A">
      <w:r>
        <w:t xml:space="preserve">Ook </w:t>
      </w:r>
      <w:r w:rsidR="00C401C8">
        <w:t xml:space="preserve">opdrachten met </w:t>
      </w:r>
      <w:r>
        <w:t>percelen kunnen</w:t>
      </w:r>
      <w:r w:rsidR="001B2EFF">
        <w:t xml:space="preserve"> (deels)</w:t>
      </w:r>
      <w:r>
        <w:t xml:space="preserve"> voorbehouden </w:t>
      </w:r>
      <w:r w:rsidR="00C401C8">
        <w:t>opdrachten zijn</w:t>
      </w:r>
      <w:r>
        <w:t xml:space="preserve">. </w:t>
      </w:r>
      <w:r w:rsidR="00D81F8E" w:rsidRPr="001A18AD">
        <w:t xml:space="preserve"> </w:t>
      </w:r>
    </w:p>
    <w:p w14:paraId="47D24096" w14:textId="779AE4E1" w:rsidR="00DC571F" w:rsidRDefault="00DC571F" w:rsidP="007C530A">
      <w:r w:rsidRPr="001A18AD">
        <w:rPr>
          <w:b/>
          <w:bCs/>
        </w:rPr>
        <w:t>Door van deze mogelijkheid gebruik te maken, kunnen</w:t>
      </w:r>
      <w:r w:rsidRPr="00C12BF8">
        <w:rPr>
          <w:b/>
          <w:bCs/>
        </w:rPr>
        <w:t xml:space="preserve"> aanbesteders overheidsopdrachten gebruiken om sociale inclusie en duurzame werkgelegenheid te stimuleren. In de praktijk gaat het hier </w:t>
      </w:r>
      <w:r w:rsidR="00AA6171">
        <w:rPr>
          <w:b/>
          <w:bCs/>
        </w:rPr>
        <w:t xml:space="preserve">ook </w:t>
      </w:r>
      <w:r w:rsidRPr="00C12BF8">
        <w:rPr>
          <w:b/>
          <w:bCs/>
        </w:rPr>
        <w:t>meestal om lokale kmo’s</w:t>
      </w:r>
      <w:r w:rsidRPr="541C94C9">
        <w:t xml:space="preserve">. </w:t>
      </w:r>
    </w:p>
    <w:p w14:paraId="7AD36505" w14:textId="1AF54525" w:rsidR="00765B50" w:rsidRPr="007C530A" w:rsidRDefault="00DC571F" w:rsidP="00437C23">
      <w:r w:rsidRPr="4C4C29DD">
        <w:t xml:space="preserve">Artikel 91 van de wet bepaalt tot slot dat de aanbesteder overheidsopdrachten voor bepaalde diensten – met name op het gebied van gezondheid, het sociale en cultuur – ook kan voorbehouden voor bepaalde organisaties. In de aankondiging van een opdracht of de vooraankondiging </w:t>
      </w:r>
      <w:r w:rsidR="00C66183">
        <w:t>moet</w:t>
      </w:r>
      <w:r w:rsidR="00C66183" w:rsidRPr="4C4C29DD">
        <w:t xml:space="preserve"> </w:t>
      </w:r>
      <w:r w:rsidRPr="4C4C29DD">
        <w:t xml:space="preserve">naar dit artikel </w:t>
      </w:r>
      <w:r w:rsidR="00C66183">
        <w:t xml:space="preserve">worden </w:t>
      </w:r>
      <w:r w:rsidRPr="4C4C29DD">
        <w:t>verwezen.</w:t>
      </w:r>
    </w:p>
    <w:p w14:paraId="668CC334" w14:textId="77777777" w:rsidR="00437C23" w:rsidRPr="009069A3" w:rsidRDefault="00437C23">
      <w:pPr>
        <w:pStyle w:val="Kop2"/>
      </w:pPr>
      <w:bookmarkStart w:id="100" w:name="_Toc135839969"/>
      <w:bookmarkStart w:id="101" w:name="_Toc150870574"/>
      <w:r>
        <w:t>Richtlijnen en instructies</w:t>
      </w:r>
      <w:bookmarkEnd w:id="100"/>
      <w:bookmarkEnd w:id="101"/>
    </w:p>
    <w:p w14:paraId="2FAF3710" w14:textId="4A41E081" w:rsidR="00765B50" w:rsidRDefault="00765B50">
      <w:pPr>
        <w:pStyle w:val="Lijstnummering"/>
        <w:numPr>
          <w:ilvl w:val="0"/>
          <w:numId w:val="10"/>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rsidRPr="00E74D16">
        <w:rPr>
          <w:rFonts w:eastAsia="Lato"/>
          <w:b/>
          <w:bCs/>
          <w:color w:val="0070C0"/>
        </w:rPr>
        <w:t xml:space="preserve">De opdeling van een opdracht in percelen geldt als een leidend principe en dat zowel voor opdrachten boven als onder </w:t>
      </w:r>
      <w:r w:rsidRPr="00374445">
        <w:rPr>
          <w:rFonts w:eastAsia="Lato"/>
          <w:b/>
          <w:bCs/>
          <w:color w:val="0070C0"/>
        </w:rPr>
        <w:t>de</w:t>
      </w:r>
      <w:r w:rsidR="0058592A" w:rsidRPr="00374445">
        <w:rPr>
          <w:rFonts w:eastAsia="Lato"/>
          <w:b/>
          <w:bCs/>
          <w:color w:val="0070C0"/>
        </w:rPr>
        <w:t xml:space="preserve"> voornoemde</w:t>
      </w:r>
      <w:r w:rsidRPr="00374445">
        <w:rPr>
          <w:rFonts w:eastAsia="Lato"/>
          <w:b/>
          <w:bCs/>
          <w:color w:val="0070C0"/>
        </w:rPr>
        <w:t xml:space="preserve"> Europese drempel</w:t>
      </w:r>
      <w:r w:rsidRPr="00374445">
        <w:rPr>
          <w:rFonts w:eastAsia="Lato"/>
        </w:rPr>
        <w:t>: aanbesteders moeten die verdeling</w:t>
      </w:r>
      <w:r w:rsidR="00ED1E60" w:rsidRPr="00374445">
        <w:rPr>
          <w:rFonts w:eastAsia="Lato"/>
        </w:rPr>
        <w:t xml:space="preserve"> dus</w:t>
      </w:r>
      <w:r w:rsidR="00E418C1" w:rsidRPr="00374445">
        <w:rPr>
          <w:rFonts w:eastAsia="Lato"/>
        </w:rPr>
        <w:t xml:space="preserve"> zowel boven als onder d</w:t>
      </w:r>
      <w:r w:rsidR="0058592A" w:rsidRPr="00374445">
        <w:rPr>
          <w:rFonts w:eastAsia="Lato"/>
        </w:rPr>
        <w:t>i</w:t>
      </w:r>
      <w:r w:rsidR="00E418C1" w:rsidRPr="00374445">
        <w:rPr>
          <w:rFonts w:eastAsia="Lato"/>
        </w:rPr>
        <w:t>e drempel</w:t>
      </w:r>
      <w:r w:rsidR="00800BC0" w:rsidRPr="00374445">
        <w:rPr>
          <w:rFonts w:eastAsia="Lato"/>
        </w:rPr>
        <w:t xml:space="preserve"> altijd overwegen</w:t>
      </w:r>
      <w:r w:rsidR="004424B7" w:rsidRPr="00374445">
        <w:rPr>
          <w:rFonts w:eastAsia="Lato"/>
        </w:rPr>
        <w:t>, inclusief motivatie,</w:t>
      </w:r>
      <w:r w:rsidR="00E418C1" w:rsidRPr="00374445">
        <w:rPr>
          <w:rFonts w:eastAsia="Lato"/>
        </w:rPr>
        <w:t xml:space="preserve"> en</w:t>
      </w:r>
      <w:r w:rsidRPr="00374445">
        <w:rPr>
          <w:rFonts w:eastAsia="Lato"/>
        </w:rPr>
        <w:t xml:space="preserve"> maximaal toepassen. Ga hierbij evenwel oordeelkundig te</w:t>
      </w:r>
      <w:r w:rsidR="001769F8" w:rsidRPr="00374445">
        <w:rPr>
          <w:rFonts w:eastAsia="Lato"/>
        </w:rPr>
        <w:t xml:space="preserve"> </w:t>
      </w:r>
      <w:r w:rsidRPr="00374445">
        <w:rPr>
          <w:rFonts w:eastAsia="Lato"/>
        </w:rPr>
        <w:t xml:space="preserve">werk via onder meer een grondige verkenning van de markt en overweeg </w:t>
      </w:r>
      <w:r w:rsidR="00651887" w:rsidRPr="00374445">
        <w:rPr>
          <w:rFonts w:eastAsia="Lato"/>
        </w:rPr>
        <w:t xml:space="preserve">systematisch </w:t>
      </w:r>
      <w:r w:rsidRPr="00374445">
        <w:rPr>
          <w:rFonts w:eastAsia="Lato"/>
        </w:rPr>
        <w:t>alternatieven</w:t>
      </w:r>
      <w:r w:rsidR="00692E89" w:rsidRPr="00374445">
        <w:rPr>
          <w:rFonts w:eastAsia="Lato"/>
        </w:rPr>
        <w:t xml:space="preserve"> en bijkomende mogelijkheden, zoals de mogelijkheden inzake voorbehouden opdrachten</w:t>
      </w:r>
      <w:r w:rsidRPr="00374445">
        <w:rPr>
          <w:rFonts w:eastAsia="Lato"/>
        </w:rPr>
        <w:t>.</w:t>
      </w:r>
      <w:r w:rsidRPr="004A031B">
        <w:rPr>
          <w:rFonts w:eastAsia="Lato"/>
        </w:rPr>
        <w:t xml:space="preserve"> Wanneer besloten wordt niet te verdelen in percelen, vermeld dan de feitelijke redenen in, bij voorkeur, de opdrachtdocumenten.</w:t>
      </w:r>
    </w:p>
    <w:p w14:paraId="319F3E65" w14:textId="420DE319" w:rsidR="001C1D84" w:rsidRDefault="008805C7">
      <w:pPr>
        <w:pStyle w:val="Lijstnummering"/>
        <w:numPr>
          <w:ilvl w:val="0"/>
          <w:numId w:val="10"/>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rsidRPr="00E110C5">
        <w:rPr>
          <w:rFonts w:eastAsia="Lato"/>
          <w:b/>
          <w:bCs/>
          <w:color w:val="0070C0"/>
        </w:rPr>
        <w:t>Leef de v</w:t>
      </w:r>
      <w:r w:rsidR="001C1D84" w:rsidRPr="00E110C5">
        <w:rPr>
          <w:rFonts w:eastAsia="Lato"/>
          <w:b/>
          <w:bCs/>
          <w:color w:val="0070C0"/>
        </w:rPr>
        <w:t xml:space="preserve">ia dit charter </w:t>
      </w:r>
      <w:r w:rsidRPr="00E110C5">
        <w:rPr>
          <w:rFonts w:eastAsia="Lato"/>
          <w:b/>
          <w:bCs/>
          <w:color w:val="0070C0"/>
        </w:rPr>
        <w:t>ingevoerde</w:t>
      </w:r>
      <w:r w:rsidR="00BD5A40">
        <w:rPr>
          <w:rFonts w:eastAsia="Lato"/>
          <w:b/>
          <w:bCs/>
          <w:color w:val="0070C0"/>
        </w:rPr>
        <w:t xml:space="preserve"> bijkomende</w:t>
      </w:r>
      <w:r w:rsidR="001C1D84" w:rsidRPr="00E110C5">
        <w:rPr>
          <w:rFonts w:eastAsia="Lato"/>
          <w:b/>
          <w:bCs/>
          <w:color w:val="0070C0"/>
        </w:rPr>
        <w:t xml:space="preserve"> motiveringsplicht</w:t>
      </w:r>
      <w:r w:rsidR="006F0F08" w:rsidRPr="00E110C5">
        <w:rPr>
          <w:rFonts w:eastAsia="Lato"/>
          <w:b/>
          <w:bCs/>
          <w:color w:val="0070C0"/>
        </w:rPr>
        <w:t xml:space="preserve"> </w:t>
      </w:r>
      <w:r w:rsidR="0087141C" w:rsidRPr="00E110C5">
        <w:rPr>
          <w:rFonts w:eastAsia="Lato"/>
          <w:b/>
          <w:bCs/>
          <w:color w:val="0070C0"/>
        </w:rPr>
        <w:t>bij</w:t>
      </w:r>
      <w:r w:rsidR="006F0F08" w:rsidRPr="00E110C5">
        <w:rPr>
          <w:rFonts w:eastAsia="Lato"/>
          <w:b/>
          <w:bCs/>
          <w:color w:val="0070C0"/>
        </w:rPr>
        <w:t xml:space="preserve"> de IF na</w:t>
      </w:r>
      <w:r w:rsidR="000133AB">
        <w:rPr>
          <w:rFonts w:eastAsia="Lato"/>
        </w:rPr>
        <w:t>:</w:t>
      </w:r>
      <w:r w:rsidR="001C1D84" w:rsidRPr="001C1D84">
        <w:rPr>
          <w:rFonts w:eastAsia="Lato"/>
        </w:rPr>
        <w:t xml:space="preserve"> wanneer een adviesaanvraag aan de IF vereist is, dan motiveert de aanbesteder in dit advies waarom er al dan niet verdeeld is in percelen. Die motivatie omvat de feitelijke </w:t>
      </w:r>
      <w:r w:rsidR="001C1D84" w:rsidRPr="00EA5AA4">
        <w:rPr>
          <w:rFonts w:eastAsia="Lato"/>
        </w:rPr>
        <w:t>reden</w:t>
      </w:r>
      <w:r w:rsidR="001C55D0" w:rsidRPr="00EA5AA4">
        <w:rPr>
          <w:rFonts w:eastAsia="Lato"/>
        </w:rPr>
        <w:t>en</w:t>
      </w:r>
      <w:r w:rsidR="001C1D84" w:rsidRPr="00EA5AA4">
        <w:rPr>
          <w:rFonts w:eastAsia="Lato"/>
        </w:rPr>
        <w:t xml:space="preserve"> van toepassing op de desbetreffende opdracht over waarom er al dan niet verdeeld is in percelen. De motiveringsplicht geldt voor alle opdrachten die een adviesaanvraag aan de IF </w:t>
      </w:r>
      <w:r w:rsidR="00592448" w:rsidRPr="00EA5AA4">
        <w:rPr>
          <w:rFonts w:eastAsia="Lato"/>
        </w:rPr>
        <w:t>vereisen</w:t>
      </w:r>
      <w:r w:rsidR="001C1D84" w:rsidRPr="001C1D84">
        <w:rPr>
          <w:rFonts w:eastAsia="Lato"/>
        </w:rPr>
        <w:t>.</w:t>
      </w:r>
    </w:p>
    <w:p w14:paraId="677C2FDD" w14:textId="7764D80F" w:rsidR="00AA7FDE" w:rsidRPr="001A18AD" w:rsidRDefault="007F3132">
      <w:pPr>
        <w:pStyle w:val="Lijstnummering"/>
        <w:numPr>
          <w:ilvl w:val="0"/>
          <w:numId w:val="10"/>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rsidRPr="001A18AD">
        <w:rPr>
          <w:rFonts w:eastAsia="Lato"/>
        </w:rPr>
        <w:t xml:space="preserve">Evalueer, na een eerste </w:t>
      </w:r>
      <w:r w:rsidR="006D23FB" w:rsidRPr="001A18AD">
        <w:rPr>
          <w:rFonts w:eastAsia="Lato"/>
        </w:rPr>
        <w:t>oefening</w:t>
      </w:r>
      <w:r w:rsidRPr="001A18AD">
        <w:rPr>
          <w:rFonts w:eastAsia="Lato"/>
        </w:rPr>
        <w:t xml:space="preserve"> tot verdelen in percelen, het resultaat. Ga na of dat resultaat effectief is</w:t>
      </w:r>
      <w:r w:rsidR="00C270CB" w:rsidRPr="001A18AD">
        <w:rPr>
          <w:rFonts w:eastAsia="Lato"/>
        </w:rPr>
        <w:t xml:space="preserve"> of bijvoorbeeld nog altijd resulteert in voor kmo’s te grote percelen</w:t>
      </w:r>
      <w:r w:rsidR="00296D4C" w:rsidRPr="001A18AD">
        <w:rPr>
          <w:rFonts w:eastAsia="Lato"/>
        </w:rPr>
        <w:t>.</w:t>
      </w:r>
      <w:r w:rsidR="00114601">
        <w:rPr>
          <w:rFonts w:eastAsia="Lato"/>
        </w:rPr>
        <w:t xml:space="preserve"> Waak er tegelijk </w:t>
      </w:r>
      <w:r w:rsidR="00114601">
        <w:rPr>
          <w:rFonts w:eastAsia="Lato"/>
        </w:rPr>
        <w:lastRenderedPageBreak/>
        <w:t>ook over dat de individuele percelen economisch rendabel zijn.</w:t>
      </w:r>
      <w:r w:rsidR="00296D4C" w:rsidRPr="001A18AD">
        <w:rPr>
          <w:rFonts w:eastAsia="Lato"/>
        </w:rPr>
        <w:t xml:space="preserve"> Pas indien nodig het resultaat aan om </w:t>
      </w:r>
      <w:r w:rsidR="00663709" w:rsidRPr="001A18AD">
        <w:rPr>
          <w:rFonts w:eastAsia="Lato"/>
        </w:rPr>
        <w:t xml:space="preserve">het behalen van </w:t>
      </w:r>
      <w:r w:rsidR="00296D4C" w:rsidRPr="001A18AD">
        <w:rPr>
          <w:rFonts w:eastAsia="Lato"/>
        </w:rPr>
        <w:t>bepaalde doelstellingen</w:t>
      </w:r>
      <w:r w:rsidR="00975D9E" w:rsidRPr="001A18AD">
        <w:rPr>
          <w:rFonts w:eastAsia="Lato"/>
        </w:rPr>
        <w:t xml:space="preserve"> te verzekeren</w:t>
      </w:r>
      <w:r w:rsidR="00296D4C" w:rsidRPr="001A18AD">
        <w:rPr>
          <w:rFonts w:eastAsia="Lato"/>
        </w:rPr>
        <w:t>, zoals de toegang van kmo</w:t>
      </w:r>
      <w:r w:rsidR="00975D9E" w:rsidRPr="001A18AD">
        <w:rPr>
          <w:rFonts w:eastAsia="Lato"/>
        </w:rPr>
        <w:t>’</w:t>
      </w:r>
      <w:r w:rsidR="00296D4C" w:rsidRPr="001A18AD">
        <w:rPr>
          <w:rFonts w:eastAsia="Lato"/>
        </w:rPr>
        <w:t xml:space="preserve">s </w:t>
      </w:r>
      <w:r w:rsidR="00975D9E" w:rsidRPr="001A18AD">
        <w:rPr>
          <w:rFonts w:eastAsia="Lato"/>
        </w:rPr>
        <w:t xml:space="preserve">tot de desbetreffende opdracht </w:t>
      </w:r>
      <w:r w:rsidR="00296D4C" w:rsidRPr="001A18AD">
        <w:rPr>
          <w:rFonts w:eastAsia="Lato"/>
        </w:rPr>
        <w:t>garanderen</w:t>
      </w:r>
      <w:r w:rsidR="00663709" w:rsidRPr="001A18AD">
        <w:rPr>
          <w:rFonts w:eastAsia="Lato"/>
        </w:rPr>
        <w:t xml:space="preserve">. </w:t>
      </w:r>
    </w:p>
    <w:p w14:paraId="6FE02140" w14:textId="36389129" w:rsidR="00765B50" w:rsidRPr="001F56CE" w:rsidRDefault="00765B50">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578F2A6C">
        <w:rPr>
          <w:rFonts w:eastAsia="Lato"/>
        </w:rPr>
        <w:t>Verplicht, tenzij in uitzonderlijke gevallen, ondernemingen niet om in te tekenen op alle percelen. Vermeld, bij een dergelijke verdeling in percelen, expliciet</w:t>
      </w:r>
      <w:r w:rsidR="00243742">
        <w:rPr>
          <w:rFonts w:eastAsia="Lato"/>
        </w:rPr>
        <w:t xml:space="preserve"> in de opdrachtdocumenten</w:t>
      </w:r>
      <w:r w:rsidR="00FA7000">
        <w:rPr>
          <w:rFonts w:eastAsia="Lato"/>
        </w:rPr>
        <w:t xml:space="preserve"> – bij voorkeur het bestek –</w:t>
      </w:r>
      <w:r w:rsidRPr="578F2A6C">
        <w:rPr>
          <w:rFonts w:eastAsia="Lato"/>
        </w:rPr>
        <w:t xml:space="preserve"> dat het dan ook niet verplicht is om in te schrijven op alle percelen. </w:t>
      </w:r>
    </w:p>
    <w:p w14:paraId="0468762F" w14:textId="352B4F71" w:rsidR="00765B50" w:rsidRPr="001F56CE" w:rsidRDefault="00765B50">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578F2A6C">
        <w:rPr>
          <w:rFonts w:eastAsia="Lato"/>
        </w:rPr>
        <w:t xml:space="preserve">In geval van opdeling in percelen, overweeg het nut om het indienen van offertes per inschrijver te beperken tot een of meerdere percelen. Wees hierbij aandachtig voor de potentieel negatieve gevolgen voor de mededinging. </w:t>
      </w:r>
    </w:p>
    <w:p w14:paraId="368AAC23" w14:textId="695DC7E0" w:rsidR="00765B50" w:rsidRPr="001F56CE" w:rsidRDefault="00765B50">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B112EA">
        <w:rPr>
          <w:rFonts w:eastAsia="Lato"/>
          <w:b/>
          <w:bCs/>
        </w:rPr>
        <w:t xml:space="preserve">Overweeg </w:t>
      </w:r>
      <w:r w:rsidR="001C003A" w:rsidRPr="00B112EA">
        <w:rPr>
          <w:rFonts w:eastAsia="Lato"/>
          <w:b/>
          <w:bCs/>
        </w:rPr>
        <w:t xml:space="preserve">systematisch </w:t>
      </w:r>
      <w:r w:rsidR="00723F6E" w:rsidRPr="00B112EA">
        <w:rPr>
          <w:rFonts w:eastAsia="Lato"/>
          <w:b/>
          <w:bCs/>
        </w:rPr>
        <w:t xml:space="preserve">om </w:t>
      </w:r>
      <w:r w:rsidRPr="00B112EA">
        <w:rPr>
          <w:rFonts w:eastAsia="Lato"/>
          <w:b/>
          <w:bCs/>
        </w:rPr>
        <w:t>het aantal aan één inschrijver te gunnen percelen te beperken</w:t>
      </w:r>
      <w:r w:rsidRPr="00FD19EC">
        <w:rPr>
          <w:rFonts w:eastAsia="Lato"/>
          <w:b/>
          <w:bCs/>
        </w:rPr>
        <w:t>.</w:t>
      </w:r>
      <w:r w:rsidRPr="578F2A6C">
        <w:rPr>
          <w:rFonts w:eastAsia="Lato"/>
        </w:rPr>
        <w:t xml:space="preserve"> Pas d</w:t>
      </w:r>
      <w:r w:rsidR="00965B69">
        <w:rPr>
          <w:rFonts w:eastAsia="Lato"/>
        </w:rPr>
        <w:t>i</w:t>
      </w:r>
      <w:r w:rsidRPr="578F2A6C">
        <w:rPr>
          <w:rFonts w:eastAsia="Lato"/>
        </w:rPr>
        <w:t>e optie wanneer mogelijk toe,</w:t>
      </w:r>
      <w:r w:rsidR="00965B69">
        <w:rPr>
          <w:rFonts w:eastAsia="Lato"/>
        </w:rPr>
        <w:t xml:space="preserve"> tenzij in uitzonderlijke gevallen,</w:t>
      </w:r>
      <w:r w:rsidRPr="578F2A6C">
        <w:rPr>
          <w:rFonts w:eastAsia="Lato"/>
        </w:rPr>
        <w:t xml:space="preserve"> en vermeld het maximumaantal percelen dat per inschrijver kan worden toegewezen in de aankondiging van de opdracht. </w:t>
      </w:r>
      <w:r w:rsidR="00DD5EB8">
        <w:rPr>
          <w:rFonts w:eastAsia="Lato"/>
        </w:rPr>
        <w:t xml:space="preserve">Waak erover dat de markt voldoende matuur is om de nodige mededinging </w:t>
      </w:r>
      <w:r w:rsidR="00C230E0">
        <w:rPr>
          <w:rFonts w:eastAsia="Lato"/>
        </w:rPr>
        <w:t xml:space="preserve">te verzekeren </w:t>
      </w:r>
      <w:r w:rsidR="00650E92">
        <w:rPr>
          <w:rFonts w:eastAsia="Lato"/>
        </w:rPr>
        <w:t>en bepaal het maximumaantal</w:t>
      </w:r>
      <w:r w:rsidR="001333E8">
        <w:rPr>
          <w:rFonts w:eastAsia="Lato"/>
        </w:rPr>
        <w:t xml:space="preserve"> (1, 2, 4…)</w:t>
      </w:r>
      <w:r w:rsidR="001D2B65">
        <w:rPr>
          <w:rFonts w:eastAsia="Lato"/>
        </w:rPr>
        <w:t xml:space="preserve"> in functie van de eigenlijke opdracht.</w:t>
      </w:r>
      <w:r w:rsidR="00650E92">
        <w:rPr>
          <w:rFonts w:eastAsia="Lato"/>
        </w:rPr>
        <w:t xml:space="preserve"> </w:t>
      </w:r>
    </w:p>
    <w:p w14:paraId="00FA8400" w14:textId="15BFA5D6" w:rsidR="00765B50" w:rsidRPr="001F56CE" w:rsidRDefault="00765B50">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578F2A6C">
        <w:rPr>
          <w:rFonts w:eastAsia="Lato"/>
        </w:rPr>
        <w:t>Bepaal, bij opdrachten verdeeld in percelen, het minimale niveau dat vereist is voor de kwalitatieve selectie voor elk perceel afzonderlijk,</w:t>
      </w:r>
      <w:r w:rsidRPr="578F2A6C">
        <w:t xml:space="preserve"> </w:t>
      </w:r>
      <w:r w:rsidRPr="578F2A6C">
        <w:rPr>
          <w:rFonts w:eastAsia="Lato"/>
        </w:rPr>
        <w:t>resulterend in selectiecriteria op maat van elk perceel, en – indien toegestaan in de opdrachtdocumenten – voor de combinatie van meerdere percelen. De selectiecriteria worden tot het minimum beperkt: overweeg bijvoorbeeld om geen criteria op te leggen inzake economische en financiële draagkracht tenzij echt nodig.</w:t>
      </w:r>
    </w:p>
    <w:p w14:paraId="25A699D7" w14:textId="6C849258" w:rsidR="00765B50" w:rsidRPr="001F56CE" w:rsidRDefault="00765B50">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pPr>
      <w:r w:rsidRPr="578F2A6C">
        <w:rPr>
          <w:rFonts w:eastAsia="Lato"/>
        </w:rPr>
        <w:t xml:space="preserve">Ga na of het toelaten van prijskortingen of verbeteringsvoorstellen, in het geval dat meerdere percelen aan dezelfde inschrijver worden gegund, geen negatieve impact heeft op de concurrentiekracht van kleinere ondernemingsgroottes en de mededinging. </w:t>
      </w:r>
    </w:p>
    <w:p w14:paraId="0C7A4AFE" w14:textId="55F498AF" w:rsidR="00347E71" w:rsidRPr="003C5A8C" w:rsidRDefault="00347E71">
      <w:pPr>
        <w:pStyle w:val="Kop2"/>
      </w:pPr>
      <w:bookmarkStart w:id="102" w:name="_Toc135839970"/>
      <w:bookmarkStart w:id="103" w:name="_Toc150870575"/>
      <w:r>
        <w:t>Voorbeelden</w:t>
      </w:r>
      <w:bookmarkEnd w:id="102"/>
      <w:bookmarkEnd w:id="103"/>
    </w:p>
    <w:p w14:paraId="27F65C55" w14:textId="3A488AF0" w:rsidR="00D331F4" w:rsidRPr="00D331F4" w:rsidRDefault="003C5A8C">
      <w:pPr>
        <w:pStyle w:val="Kop3"/>
      </w:pPr>
      <w:bookmarkStart w:id="104" w:name="_Toc135839971"/>
      <w:bookmarkStart w:id="105" w:name="_Toc150870576"/>
      <w:r>
        <w:t>De verdeling in percelen – t</w:t>
      </w:r>
      <w:r w:rsidR="00D331F4" w:rsidRPr="00D331F4">
        <w:t>e vermijden</w:t>
      </w:r>
      <w:bookmarkEnd w:id="104"/>
      <w:bookmarkEnd w:id="105"/>
    </w:p>
    <w:p w14:paraId="254EA750" w14:textId="6247CAAB" w:rsidR="00D331F4" w:rsidRDefault="00D331F4" w:rsidP="00D331F4">
      <w:r>
        <w:t>Een</w:t>
      </w:r>
      <w:r w:rsidRPr="052A3154">
        <w:t xml:space="preserve"> opdracht </w:t>
      </w:r>
      <w:r>
        <w:t>over</w:t>
      </w:r>
      <w:r w:rsidRPr="052A3154">
        <w:t xml:space="preserve"> de confectie van bepaalde beroepskledij </w:t>
      </w:r>
      <w:r>
        <w:t xml:space="preserve">werd </w:t>
      </w:r>
      <w:r w:rsidRPr="052A3154">
        <w:t>uitgeschreven</w:t>
      </w:r>
      <w:r>
        <w:t xml:space="preserve"> waarbij </w:t>
      </w:r>
      <w:r w:rsidRPr="052A3154">
        <w:t xml:space="preserve">gewerkt </w:t>
      </w:r>
      <w:r>
        <w:t>werd</w:t>
      </w:r>
      <w:r w:rsidRPr="052A3154">
        <w:t xml:space="preserve"> met een bestelplatform waar ook andere overheidsdiensten of -bedrijven </w:t>
      </w:r>
      <w:r>
        <w:t>konden</w:t>
      </w:r>
      <w:r w:rsidRPr="052A3154">
        <w:t xml:space="preserve"> aansluiten. De opdracht </w:t>
      </w:r>
      <w:r>
        <w:t>was</w:t>
      </w:r>
      <w:r w:rsidRPr="052A3154">
        <w:t xml:space="preserve"> </w:t>
      </w:r>
      <w:r w:rsidRPr="003C314B">
        <w:rPr>
          <w:u w:val="single"/>
        </w:rPr>
        <w:t>niet opgedeeld in percelen</w:t>
      </w:r>
      <w:r w:rsidRPr="052A3154">
        <w:t xml:space="preserve"> met als motivatie dat er in feite geen wezenlijk verschil is tussen de verschillende confectiemethoden (geweven, gebreid, …). D</w:t>
      </w:r>
      <w:r>
        <w:t>a</w:t>
      </w:r>
      <w:r w:rsidRPr="052A3154">
        <w:t>t is echter geen juiste argumentatie vanuit technisch oogpunt. Het is immers zo dat kmo’s doorgaans slechts in een of enkele segmenten gespecialiseerd zijn (ofwel gebreid ofwel geweven ofwel…)</w:t>
      </w:r>
      <w:r>
        <w:t xml:space="preserve"> </w:t>
      </w:r>
      <w:r w:rsidRPr="00234B6E">
        <w:t>vermits voor</w:t>
      </w:r>
      <w:r>
        <w:t xml:space="preserve"> de verschillende segmenten</w:t>
      </w:r>
      <w:r w:rsidRPr="00234B6E">
        <w:t xml:space="preserve"> totaal verschillende machines nodig</w:t>
      </w:r>
      <w:r>
        <w:t xml:space="preserve"> zijn</w:t>
      </w:r>
      <w:r w:rsidRPr="052A3154">
        <w:t xml:space="preserve">, met als gevolg dat de kans groot is dat enkel de grote spelers of multinationals de opdracht gegund krijgen. </w:t>
      </w:r>
    </w:p>
    <w:p w14:paraId="13F4BB69" w14:textId="6DB34584" w:rsidR="00D331F4" w:rsidRDefault="00D331F4" w:rsidP="00D331F4">
      <w:r>
        <w:t>Daarnaast</w:t>
      </w:r>
      <w:r w:rsidRPr="052A3154">
        <w:t xml:space="preserve"> </w:t>
      </w:r>
      <w:r>
        <w:t xml:space="preserve">waren </w:t>
      </w:r>
      <w:r w:rsidRPr="052A3154">
        <w:t xml:space="preserve">de eisen omtrent financiële draagkracht en technische bekwaamheid zodanig opgesteld dat kmo’s hier </w:t>
      </w:r>
      <w:r>
        <w:t>(</w:t>
      </w:r>
      <w:r w:rsidRPr="052A3154">
        <w:t>bijna</w:t>
      </w:r>
      <w:r>
        <w:t>)</w:t>
      </w:r>
      <w:r w:rsidRPr="052A3154">
        <w:t xml:space="preserve"> niet aan kunnen voldoen</w:t>
      </w:r>
      <w:r>
        <w:t>: een paar tiental</w:t>
      </w:r>
      <w:r w:rsidR="00C54287">
        <w:t>len</w:t>
      </w:r>
      <w:r>
        <w:t xml:space="preserve"> miljoenen euro’s omzet, aangevuld met een handvol referenties van serieuze omzet in de laatste drie jaar.</w:t>
      </w:r>
      <w:r w:rsidRPr="052A3154">
        <w:t xml:space="preserve"> </w:t>
      </w:r>
      <w:r>
        <w:t>Bovendien,</w:t>
      </w:r>
      <w:r w:rsidRPr="052A3154">
        <w:t xml:space="preserve"> aangezien ook andere diensten zich hierbij zouden kunnen aansluiten, werd deze opdracht al helemaal te omvangrijk om als kmo te kunnen </w:t>
      </w:r>
      <w:r>
        <w:t>participeren</w:t>
      </w:r>
      <w:r w:rsidRPr="052A3154">
        <w:t xml:space="preserve">. </w:t>
      </w:r>
      <w:r>
        <w:t>Ook</w:t>
      </w:r>
      <w:r w:rsidRPr="052A3154">
        <w:t xml:space="preserve"> </w:t>
      </w:r>
      <w:r>
        <w:t>werd</w:t>
      </w:r>
      <w:r w:rsidRPr="052A3154">
        <w:t xml:space="preserve"> door de clustering de marktwerking beperkt. </w:t>
      </w:r>
    </w:p>
    <w:p w14:paraId="0A70D3B7" w14:textId="77777777" w:rsidR="00D331F4" w:rsidRDefault="00D331F4" w:rsidP="00D331F4">
      <w:r w:rsidRPr="4C4C29DD">
        <w:t>Om hieraan tegemoet te komen kan de aanbestedende overheid onder meer (1) de markt verkennen om na te gaan hoe de markt(segmenten) en de relevante ondernemingen georganiseerd zijn, (2) de opdracht in percelen verdelen, onder meer afhankelijk van de confectiemethode, (3) overwegen om de selectiecriteria inzake financiële draagkracht te versoepelen of niet toe te passen en (4) nagaan of het wel nuttig is dat andere diensten zich kunnen aansluiten.</w:t>
      </w:r>
    </w:p>
    <w:p w14:paraId="57F23FBA" w14:textId="71C77708" w:rsidR="00D331F4" w:rsidRDefault="00D331F4" w:rsidP="00D331F4">
      <w:r w:rsidRPr="052A3154">
        <w:t xml:space="preserve">In een andere case </w:t>
      </w:r>
      <w:r>
        <w:t>werd</w:t>
      </w:r>
      <w:r w:rsidRPr="052A3154">
        <w:t xml:space="preserve"> een opdracht uitgeschreven inzake de facilitaire dienstverlening van alle satellietkantoren van een overheidsdienst. Ook hier </w:t>
      </w:r>
      <w:r>
        <w:t>werd</w:t>
      </w:r>
      <w:r w:rsidRPr="052A3154">
        <w:t xml:space="preserve"> </w:t>
      </w:r>
      <w:r w:rsidRPr="006336AA">
        <w:rPr>
          <w:u w:val="single"/>
        </w:rPr>
        <w:t>niet in percelen verdeeld</w:t>
      </w:r>
      <w:r w:rsidRPr="052A3154">
        <w:t xml:space="preserve"> met als motivatie dat de uit te voeren werken op elke locatie dezelfde zijn. Hier loopt de </w:t>
      </w:r>
      <w:r w:rsidR="00D06CDA">
        <w:t>aanbesteder</w:t>
      </w:r>
      <w:r w:rsidRPr="052A3154">
        <w:t xml:space="preserve"> echter het risico dat landelijke spelers de grootste kans hebben om de opdracht te winnen, terwijl lokale of regionale kmo’s niet over de capaciteit beschikken om in heel het land die facilitaire dienstverlening aan te bieden. </w:t>
      </w:r>
    </w:p>
    <w:p w14:paraId="017E6BE4" w14:textId="46EA6222" w:rsidR="00D331F4" w:rsidRDefault="00D331F4" w:rsidP="00D331F4">
      <w:r w:rsidRPr="052A3154">
        <w:lastRenderedPageBreak/>
        <w:t>D</w:t>
      </w:r>
      <w:r>
        <w:t>a</w:t>
      </w:r>
      <w:r w:rsidRPr="052A3154">
        <w:t xml:space="preserve">t kan eenvoudig </w:t>
      </w:r>
      <w:r w:rsidR="007A260D" w:rsidRPr="052A3154">
        <w:t xml:space="preserve">worden </w:t>
      </w:r>
      <w:r w:rsidRPr="052A3154">
        <w:t>opgelost door de opdracht op te splitsen in geografisch bepaalde percelen (bijvoorbeeld per provincie</w:t>
      </w:r>
      <w:r>
        <w:t xml:space="preserve"> of arrondissement</w:t>
      </w:r>
      <w:r w:rsidRPr="052A3154">
        <w:t xml:space="preserve">) en te bepalen dat niet alle percelen aan één inschrijver kunnen worden gegund. Bovendien zijn het vaak de grotere spelers die alle aspecten inzake facilitaire dienstverlening aanbieden. Het kan daarom zinvol zijn om de opdracht ook </w:t>
      </w:r>
      <w:bookmarkStart w:id="106" w:name="_Int_Gog5nqop"/>
      <w:r w:rsidRPr="052A3154">
        <w:t>op</w:t>
      </w:r>
      <w:bookmarkEnd w:id="106"/>
      <w:r w:rsidRPr="052A3154">
        <w:t xml:space="preserve"> te splitsen in </w:t>
      </w:r>
      <w:r>
        <w:t xml:space="preserve">kwalitatieve of inhoudelijke </w:t>
      </w:r>
      <w:r w:rsidRPr="052A3154">
        <w:t xml:space="preserve">segmenten (periodieke schoonmaak, ophalen van gescheiden afval, ramen wassen…). </w:t>
      </w:r>
    </w:p>
    <w:p w14:paraId="47B2DB3B" w14:textId="4D2B7399" w:rsidR="00D331F4" w:rsidRPr="00D331F4" w:rsidRDefault="003C5A8C">
      <w:pPr>
        <w:pStyle w:val="Kop3"/>
      </w:pPr>
      <w:bookmarkStart w:id="107" w:name="_Toc135839972"/>
      <w:bookmarkStart w:id="108" w:name="_Toc150870577"/>
      <w:r>
        <w:t>De verdeling in percelen – a</w:t>
      </w:r>
      <w:r w:rsidR="00D331F4" w:rsidRPr="00D331F4">
        <w:t>anbevolen</w:t>
      </w:r>
      <w:bookmarkEnd w:id="107"/>
      <w:bookmarkEnd w:id="108"/>
    </w:p>
    <w:p w14:paraId="3391473E" w14:textId="1334CEAA" w:rsidR="00D331F4" w:rsidRDefault="00D331F4" w:rsidP="00D331F4">
      <w:r w:rsidRPr="5FEC7BED">
        <w:t xml:space="preserve">Afsluiten doen we met een voorbeeld waar de aanbesteder het verdelen van percelen heeft toegepast volgens de regels </w:t>
      </w:r>
      <w:r>
        <w:t>van de</w:t>
      </w:r>
      <w:r w:rsidRPr="5FEC7BED">
        <w:t xml:space="preserve"> kunst. Het betreft een grootschalig project waarbij de </w:t>
      </w:r>
      <w:r w:rsidR="00533176">
        <w:t>aanbesteder</w:t>
      </w:r>
      <w:r w:rsidRPr="5FEC7BED">
        <w:t xml:space="preserve"> wil overstappen </w:t>
      </w:r>
      <w:r>
        <w:t>naar</w:t>
      </w:r>
      <w:r w:rsidRPr="5FEC7BED">
        <w:t xml:space="preserve"> een open, modulair softwareplatform voor verkeerscentra van de volgende generatie. Het doel was om niet langer afhankelijk te zijn van één leverancier en de weg voor kmo’s vrij te maken om nieuwe innovatieve (modulaire) diensten aan te bieden. </w:t>
      </w:r>
    </w:p>
    <w:p w14:paraId="46A54FD3" w14:textId="1F45C858" w:rsidR="00D331F4" w:rsidRDefault="00D331F4" w:rsidP="00D331F4">
      <w:r w:rsidRPr="5FEC7BED">
        <w:t xml:space="preserve">Er werden twee parallelle aanbestedingsprocedures gelanceerd: een opdracht om het softwareplatform te ontwikkelen met één perceel (inclusief onderhoud) en een opdracht om innovatieve (verkeers-)modules te ontwikkelen die aan het platform gelinkt kunnen worden. Om te zorgen voor voldoende concurrentie en </w:t>
      </w:r>
      <w:r>
        <w:t>om de</w:t>
      </w:r>
      <w:r w:rsidRPr="5FEC7BED">
        <w:t xml:space="preserve"> interoperabiliteit tussen de verschillende modules</w:t>
      </w:r>
      <w:r>
        <w:t xml:space="preserve"> te verzekeren,</w:t>
      </w:r>
      <w:r w:rsidRPr="5FEC7BED">
        <w:t xml:space="preserve"> werd deze opdracht wel opgesplitst in percelen: netwerkbeheer, verkeersmonitoring, ongevallenanalyse, intelligente vervoerssystemen/slimme voertuigen en voorspellingen op basis van artificiële intelligentie. </w:t>
      </w:r>
    </w:p>
    <w:p w14:paraId="1587F34D" w14:textId="1CBDACE0" w:rsidR="00E35B60" w:rsidRDefault="00D331F4" w:rsidP="00347E71">
      <w:r w:rsidRPr="5FEC7BED">
        <w:t>Bij de eerste opdracht was sprake van gezonde concurrentie tussen bestaande grote leveranciers; opdelen in percelen had hier weinig zin en het is zelfs aangewezen om de ontwikkeling en het onderhoud van IT-oplossingen niet</w:t>
      </w:r>
      <w:r>
        <w:t xml:space="preserve"> zomaar</w:t>
      </w:r>
      <w:r w:rsidRPr="5FEC7BED">
        <w:t xml:space="preserve"> te splitsen. Aan de tweede opdracht namen meer kmo's deel, waaronder kmo's die voorheen niet actief waren in het domein van verkeersbeheer. Voorts werd berekend dat deze aanpak op basis van een open modulaire structuur een kostenbesparing van 20% opleverde.</w:t>
      </w:r>
    </w:p>
    <w:p w14:paraId="6A83791F" w14:textId="72C9D29A" w:rsidR="005D4EB7" w:rsidRDefault="005D4EB7">
      <w:pPr>
        <w:pStyle w:val="Kop1"/>
      </w:pPr>
      <w:bookmarkStart w:id="109" w:name="_Toc132703175"/>
      <w:bookmarkStart w:id="110" w:name="_Toc135839973"/>
      <w:bookmarkStart w:id="111" w:name="_Toc150870578"/>
      <w:r>
        <w:t xml:space="preserve">Principe 7 – </w:t>
      </w:r>
      <w:bookmarkEnd w:id="109"/>
      <w:r w:rsidR="00600EA5" w:rsidRPr="00600EA5">
        <w:t>Het gebruik van varianten</w:t>
      </w:r>
      <w:bookmarkEnd w:id="110"/>
      <w:bookmarkEnd w:id="111"/>
    </w:p>
    <w:p w14:paraId="5B62FB31" w14:textId="77777777" w:rsidR="00437C23" w:rsidRDefault="00437C23">
      <w:pPr>
        <w:pStyle w:val="Kop2"/>
      </w:pPr>
      <w:bookmarkStart w:id="112" w:name="_Toc135839974"/>
      <w:bookmarkStart w:id="113" w:name="_Toc150870579"/>
      <w:r>
        <w:t>Doelstelling</w:t>
      </w:r>
      <w:bookmarkEnd w:id="112"/>
      <w:bookmarkEnd w:id="113"/>
    </w:p>
    <w:p w14:paraId="5426431D" w14:textId="1ACBE53E" w:rsidR="007E319D" w:rsidRDefault="00D64991" w:rsidP="00D64991">
      <w:r w:rsidRPr="66BB587E">
        <w:t>Bij het uitschrijven van de vraagspecificaties de opportuniteit om varianten mogelijk te maken, onderzoeken en waar mogelijk toe te passen op een toegankelijke manier, en gunningscriteria vastleggen die toepasbaar zijn op zowel de basisofferte als op de varianten. Dat om ondernemingen de kans te bieden alternatieve, vaak innovatieve, oplossingen voor te stellen en zo de kwaliteit van, de mededinging bij en de toegang tot overheidsopdrachten te versterken</w:t>
      </w:r>
      <w:r>
        <w:t>.</w:t>
      </w:r>
    </w:p>
    <w:p w14:paraId="0A821CD9" w14:textId="77777777" w:rsidR="00437C23" w:rsidRDefault="00437C23">
      <w:pPr>
        <w:pStyle w:val="Kop2"/>
      </w:pPr>
      <w:bookmarkStart w:id="114" w:name="_Toc135839975"/>
      <w:bookmarkStart w:id="115" w:name="_Toc150870580"/>
      <w:r>
        <w:t>Wat zegt de reglementering overheidsopdrachten?</w:t>
      </w:r>
      <w:bookmarkEnd w:id="114"/>
      <w:bookmarkEnd w:id="115"/>
    </w:p>
    <w:p w14:paraId="5B66744D" w14:textId="77777777" w:rsidR="00B96C77" w:rsidRDefault="00B96C77" w:rsidP="00B96C77">
      <w:r w:rsidRPr="051DD82C">
        <w:t xml:space="preserve">Een variante is een alternatieve ontwerp- of uitvoeringswijze die hetzij op vraag van de aanbesteder, hetzij op initiatief van de inschrijver wordt ingediend. Het spreekt voor zich dat varianten onlosmakelijk verbonden </w:t>
      </w:r>
      <w:r>
        <w:t xml:space="preserve">(moeten) </w:t>
      </w:r>
      <w:r w:rsidRPr="051DD82C">
        <w:t>zijn met het voorwerp van de opdracht.</w:t>
      </w:r>
    </w:p>
    <w:p w14:paraId="0488965A" w14:textId="77777777" w:rsidR="00B96C77" w:rsidRPr="00B96C77" w:rsidRDefault="00B96C77">
      <w:pPr>
        <w:pStyle w:val="Kop3"/>
        <w:rPr>
          <w:rFonts w:eastAsia="Lato"/>
        </w:rPr>
      </w:pPr>
      <w:bookmarkStart w:id="116" w:name="_Toc135839976"/>
      <w:bookmarkStart w:id="117" w:name="_Toc150870581"/>
      <w:r w:rsidRPr="00B96C77">
        <w:rPr>
          <w:rFonts w:eastAsia="Lato"/>
        </w:rPr>
        <w:t>Vereiste en toegestane varianten</w:t>
      </w:r>
      <w:bookmarkEnd w:id="116"/>
      <w:bookmarkEnd w:id="117"/>
    </w:p>
    <w:p w14:paraId="06FCAF26" w14:textId="77777777" w:rsidR="00B96C77" w:rsidRDefault="00B96C77" w:rsidP="00B96C77">
      <w:r>
        <w:t>Een voorbeeld:</w:t>
      </w:r>
      <w:r w:rsidRPr="64BE8DF0">
        <w:t xml:space="preserve"> een overheidsopdracht voor het uitvoeren van face-to-face enquêtes waarbij </w:t>
      </w:r>
      <w:r>
        <w:t>de aanbesteder</w:t>
      </w:r>
      <w:r w:rsidRPr="64BE8DF0">
        <w:t xml:space="preserve"> twee methoden voor het invoeren van de antwoorden </w:t>
      </w:r>
      <w:r>
        <w:t xml:space="preserve">enerzijds </w:t>
      </w:r>
      <w:r w:rsidRPr="64BE8DF0">
        <w:t>vereist of</w:t>
      </w:r>
      <w:r>
        <w:t xml:space="preserve"> anderzijds</w:t>
      </w:r>
      <w:r w:rsidRPr="64BE8DF0">
        <w:t xml:space="preserve"> toelaat, namelijk op een papieren drager (</w:t>
      </w:r>
      <w:r>
        <w:t xml:space="preserve">de </w:t>
      </w:r>
      <w:r w:rsidRPr="64BE8DF0">
        <w:t>basisoplossing) en</w:t>
      </w:r>
      <w:r>
        <w:t>/of op een</w:t>
      </w:r>
      <w:r w:rsidRPr="64BE8DF0">
        <w:t xml:space="preserve"> digitale drager (</w:t>
      </w:r>
      <w:r>
        <w:t xml:space="preserve">de </w:t>
      </w:r>
      <w:r w:rsidRPr="64BE8DF0">
        <w:t xml:space="preserve">vereiste of toegestane variant). </w:t>
      </w:r>
    </w:p>
    <w:p w14:paraId="26D7FDFA" w14:textId="70F83B46" w:rsidR="00B96C77" w:rsidRDefault="00B96C77" w:rsidP="00B96C77">
      <w:r w:rsidRPr="64BE8DF0">
        <w:t>Er wordt</w:t>
      </w:r>
      <w:r>
        <w:t xml:space="preserve"> in bovenstaand voorbeeld en in </w:t>
      </w:r>
      <w:r w:rsidR="00A56541">
        <w:t xml:space="preserve">artikel 56 van de wet van </w:t>
      </w:r>
      <w:hyperlink r:id="rId79" w:history="1">
        <w:r w:rsidR="00A56541" w:rsidRPr="00D571EB">
          <w:rPr>
            <w:rStyle w:val="Hyperlink"/>
          </w:rPr>
          <w:t>17 juni 2016</w:t>
        </w:r>
      </w:hyperlink>
      <w:r w:rsidR="00A56541" w:rsidRPr="64BE8DF0">
        <w:t xml:space="preserve"> </w:t>
      </w:r>
      <w:r>
        <w:t>dus</w:t>
      </w:r>
      <w:r w:rsidRPr="64BE8DF0">
        <w:t xml:space="preserve"> een expliciet onderscheid gemaakt tussen de vereiste en toegestane variante. Eerst en vooral moet in de aankondiging van de opdracht of, in geval van onderhandelingsprocedure zonder voorafgaande bekendmaking, in de opdrachtdocumenten worden vermeld of varianten zijn toegestaan dan wel vereist. Zonder een dergelijke vermelding zijn</w:t>
      </w:r>
      <w:r>
        <w:t xml:space="preserve"> immers</w:t>
      </w:r>
      <w:r w:rsidRPr="64BE8DF0">
        <w:t xml:space="preserve"> geen varianten toegelaten. </w:t>
      </w:r>
    </w:p>
    <w:p w14:paraId="47372A00" w14:textId="77777777" w:rsidR="00B96C77" w:rsidRDefault="00B96C77" w:rsidP="00B96C77">
      <w:r>
        <w:lastRenderedPageBreak/>
        <w:t>Daarnaast moeten v</w:t>
      </w:r>
      <w:r w:rsidRPr="64BE8DF0">
        <w:t xml:space="preserve">oor zowel de vereiste als de toegestane varianten minimumeisen worden opgenomen in de opdrachtdocumenten, alsmede de specifieke eisen met betrekking tot hoe zij moeten worden ingediend. De opdrachtdocumenten kunnen </w:t>
      </w:r>
      <w:r>
        <w:t>eveneens</w:t>
      </w:r>
      <w:r w:rsidRPr="64BE8DF0">
        <w:t xml:space="preserve"> vermelden of varianten slechts kunnen worden ingediend wanneer ook een basisofferte is ingediend. </w:t>
      </w:r>
    </w:p>
    <w:p w14:paraId="2A531519" w14:textId="77777777" w:rsidR="00B96C77" w:rsidRDefault="00B96C77" w:rsidP="00B96C77">
      <w:r w:rsidRPr="7A912B87">
        <w:t>De gunningscriteria moeten garanderen dat ze kunnen worden toegepast op de vereiste en toegestane varianten die aan de minimumvoorschriften voldoen en op de basisofferte, waarbij dan de economisch meest voordelige offerte word</w:t>
      </w:r>
      <w:r w:rsidRPr="00B96C77">
        <w:t>t</w:t>
      </w:r>
      <w:r w:rsidRPr="7A912B87">
        <w:t xml:space="preserve"> bepaald op grond van één enkele rangschikking van de basisoffertes én de variantenoffertes.</w:t>
      </w:r>
    </w:p>
    <w:p w14:paraId="505D246A" w14:textId="77777777" w:rsidR="00B96C77" w:rsidRPr="00B96C77" w:rsidRDefault="00B96C77">
      <w:pPr>
        <w:pStyle w:val="Kop3"/>
        <w:rPr>
          <w:rFonts w:eastAsia="Lato"/>
        </w:rPr>
      </w:pPr>
      <w:bookmarkStart w:id="118" w:name="_Toc135839977"/>
      <w:bookmarkStart w:id="119" w:name="_Toc150870582"/>
      <w:r w:rsidRPr="00B96C77">
        <w:rPr>
          <w:rFonts w:eastAsia="Lato"/>
        </w:rPr>
        <w:t>Vrije varianten</w:t>
      </w:r>
      <w:bookmarkEnd w:id="118"/>
      <w:bookmarkEnd w:id="119"/>
    </w:p>
    <w:p w14:paraId="204AE986" w14:textId="5FB8A43F" w:rsidR="00B96C77" w:rsidRDefault="00B96C77" w:rsidP="00B96C77">
      <w:r w:rsidRPr="7A912B87">
        <w:t xml:space="preserve">Evenwel, voor de opdrachten waarvan de geraamde waarde lager is dan de drempels voor de Europese bekendmaking, kunnen de inschrijvers – behoudens andersluidend </w:t>
      </w:r>
      <w:r w:rsidR="00960F04">
        <w:t>bepaling</w:t>
      </w:r>
      <w:r w:rsidR="00960F04" w:rsidRPr="7A912B87">
        <w:t xml:space="preserve"> </w:t>
      </w:r>
      <w:r w:rsidRPr="7A912B87">
        <w:t xml:space="preserve">in de opdrachtdocumenten – ook varianten indienen zonder vermelding dat </w:t>
      </w:r>
      <w:r w:rsidR="002F2020">
        <w:t>zij toegestaan zijn</w:t>
      </w:r>
      <w:r w:rsidRPr="7A912B87">
        <w:t xml:space="preserve"> in de aankondiging van een opdracht of in de opdrachtdocumenten. Die varianten worden vrije varianten genoemd. Voor de vrije varianten geldt de verplichting tot het vermelden van minimumeisen en specifieke eisen met betrekking tot hoe zij moeten worden ingediend, niet. </w:t>
      </w:r>
    </w:p>
    <w:p w14:paraId="5BEDEB4E" w14:textId="1D5F791A" w:rsidR="007E319D" w:rsidRDefault="00B96C77" w:rsidP="00437C23">
      <w:r w:rsidRPr="7A912B87">
        <w:t xml:space="preserve">Indien vrije varianten mogen worden voorgesteld, bepaalt de </w:t>
      </w:r>
      <w:r w:rsidR="004B5F79">
        <w:t>aanbesteder</w:t>
      </w:r>
      <w:r w:rsidRPr="7A912B87">
        <w:t xml:space="preserve"> welke vrije varianten ze niet in aanmerking neemt. Indien de vrije variante(n) in aanmerking word</w:t>
      </w:r>
      <w:r w:rsidRPr="00A614DA">
        <w:t>(t)(en) genomen</w:t>
      </w:r>
      <w:r w:rsidRPr="7A912B87">
        <w:t>, wordt de economisch meest voordelige offerte bepaald op grond van één enkele rangschikking van de basisoffertes en de variantenoffertes</w:t>
      </w:r>
      <w:r>
        <w:t>.</w:t>
      </w:r>
    </w:p>
    <w:p w14:paraId="63B57BDA" w14:textId="77777777" w:rsidR="00437C23" w:rsidRDefault="00437C23">
      <w:pPr>
        <w:pStyle w:val="Kop2"/>
      </w:pPr>
      <w:bookmarkStart w:id="120" w:name="_Toc135839978"/>
      <w:bookmarkStart w:id="121" w:name="_Toc150870583"/>
      <w:r>
        <w:t>Toelichting</w:t>
      </w:r>
      <w:bookmarkEnd w:id="120"/>
      <w:bookmarkEnd w:id="121"/>
    </w:p>
    <w:p w14:paraId="488FA3AA" w14:textId="77777777" w:rsidR="00DE68A7" w:rsidRDefault="00653BA7" w:rsidP="00653BA7">
      <w:pPr>
        <w:rPr>
          <w:rFonts w:eastAsia="Lato" w:cs="Lato"/>
          <w:color w:val="000000" w:themeColor="text1"/>
        </w:rPr>
      </w:pPr>
      <w:r w:rsidRPr="66BB587E">
        <w:rPr>
          <w:rFonts w:eastAsia="Lato" w:cs="Lato"/>
          <w:color w:val="000000" w:themeColor="text1"/>
        </w:rPr>
        <w:t xml:space="preserve">In het algemeen kan </w:t>
      </w:r>
      <w:r w:rsidRPr="0087300A">
        <w:rPr>
          <w:rFonts w:eastAsia="Lato" w:cs="Lato"/>
          <w:b/>
          <w:bCs/>
          <w:color w:val="000000" w:themeColor="text1"/>
        </w:rPr>
        <w:t>het gebruik van varianten als nuttiger beschouwd worden bij de gunningsprocedures zonder mogelijkheid tot onderhandeling</w:t>
      </w:r>
      <w:r w:rsidRPr="66BB587E">
        <w:rPr>
          <w:rFonts w:eastAsia="Lato" w:cs="Lato"/>
          <w:color w:val="000000" w:themeColor="text1"/>
        </w:rPr>
        <w:t xml:space="preserve">. Aangezien de aanbesteder </w:t>
      </w:r>
      <w:r w:rsidR="00E119D4">
        <w:rPr>
          <w:rFonts w:eastAsia="Lato" w:cs="Lato"/>
          <w:color w:val="000000" w:themeColor="text1"/>
        </w:rPr>
        <w:t>voor</w:t>
      </w:r>
      <w:r w:rsidR="00A23AB0">
        <w:rPr>
          <w:rFonts w:eastAsia="Lato" w:cs="Lato"/>
          <w:color w:val="000000" w:themeColor="text1"/>
        </w:rPr>
        <w:t xml:space="preserve"> de</w:t>
      </w:r>
      <w:r w:rsidRPr="66BB587E">
        <w:rPr>
          <w:rFonts w:eastAsia="Lato" w:cs="Lato"/>
          <w:color w:val="000000" w:themeColor="text1"/>
        </w:rPr>
        <w:t xml:space="preserve"> andere procedures over de mogelijkheid beschikt om te onderhandelen over de offerte, is de meerwaarde van varianten in die gevallen eerder beperkt. Toch worden varianten in de praktijk vaak slechts in beperkte mate gebruikt of toegestaan</w:t>
      </w:r>
      <w:r w:rsidR="002D178E">
        <w:rPr>
          <w:rFonts w:eastAsia="Lato" w:cs="Lato"/>
          <w:color w:val="000000" w:themeColor="text1"/>
        </w:rPr>
        <w:t>, onderhandelingen of niet</w:t>
      </w:r>
      <w:r w:rsidRPr="66BB587E">
        <w:rPr>
          <w:rFonts w:eastAsia="Lato" w:cs="Lato"/>
          <w:color w:val="000000" w:themeColor="text1"/>
        </w:rPr>
        <w:t>.</w:t>
      </w:r>
    </w:p>
    <w:p w14:paraId="5CD473EC" w14:textId="7177A120" w:rsidR="00653BA7" w:rsidRDefault="00DE68A7" w:rsidP="00653BA7">
      <w:pPr>
        <w:rPr>
          <w:rFonts w:eastAsia="Lato" w:cs="Lato"/>
          <w:color w:val="000000" w:themeColor="text1"/>
        </w:rPr>
      </w:pPr>
      <w:r w:rsidRPr="00C62C4F">
        <w:rPr>
          <w:rFonts w:eastAsia="Lato" w:cs="Lato"/>
          <w:b/>
          <w:bCs/>
          <w:color w:val="000000" w:themeColor="text1"/>
        </w:rPr>
        <w:t>Uitzondering</w:t>
      </w:r>
      <w:r>
        <w:rPr>
          <w:rFonts w:eastAsia="Lato" w:cs="Lato"/>
          <w:color w:val="000000" w:themeColor="text1"/>
        </w:rPr>
        <w:t xml:space="preserve">: </w:t>
      </w:r>
      <w:r w:rsidR="003E10CB">
        <w:rPr>
          <w:rFonts w:eastAsia="Lato" w:cs="Lato"/>
          <w:color w:val="000000" w:themeColor="text1"/>
        </w:rPr>
        <w:t>aan</w:t>
      </w:r>
      <w:r>
        <w:rPr>
          <w:rFonts w:eastAsia="Lato" w:cs="Lato"/>
          <w:color w:val="000000" w:themeColor="text1"/>
        </w:rPr>
        <w:t xml:space="preserve">gezien bij de </w:t>
      </w:r>
      <w:r w:rsidR="00A15FC6">
        <w:rPr>
          <w:rFonts w:eastAsia="Lato" w:cs="Lato"/>
          <w:color w:val="000000" w:themeColor="text1"/>
        </w:rPr>
        <w:t>onderhandelingsprocedure zonder voorafgaande bekendmaking</w:t>
      </w:r>
      <w:r>
        <w:rPr>
          <w:rFonts w:eastAsia="Lato" w:cs="Lato"/>
          <w:color w:val="000000" w:themeColor="text1"/>
        </w:rPr>
        <w:t xml:space="preserve"> onder de Europese drempels ook over de minimumeisen mag worden onderhandeld (zie artikel 42, §2 van de wet overheidsopdrachten</w:t>
      </w:r>
      <w:r w:rsidR="005F5CE2">
        <w:rPr>
          <w:rFonts w:eastAsia="Lato" w:cs="Lato"/>
          <w:color w:val="000000" w:themeColor="text1"/>
        </w:rPr>
        <w:t xml:space="preserve"> en tenzij anders bepaald in de opdrachtdocumenten</w:t>
      </w:r>
      <w:r>
        <w:rPr>
          <w:rFonts w:eastAsia="Lato" w:cs="Lato"/>
          <w:color w:val="000000" w:themeColor="text1"/>
        </w:rPr>
        <w:t>)</w:t>
      </w:r>
      <w:r w:rsidR="00A81EED">
        <w:rPr>
          <w:rFonts w:eastAsia="Lato" w:cs="Lato"/>
          <w:color w:val="000000" w:themeColor="text1"/>
        </w:rPr>
        <w:t>, iets dat bij de andere onderhandelingsprocedures niet mag, kan het bij een dergelijke procedure net wel interessant zijn om gebruik te maken van varianten</w:t>
      </w:r>
      <w:r w:rsidR="009B6B26">
        <w:rPr>
          <w:rFonts w:eastAsia="Lato" w:cs="Lato"/>
          <w:color w:val="000000" w:themeColor="text1"/>
        </w:rPr>
        <w:t xml:space="preserve"> om zo aan de slag te gaan met de minimumeisen – bijvoorbeeld in heel </w:t>
      </w:r>
      <w:r w:rsidR="00651337">
        <w:rPr>
          <w:rFonts w:eastAsia="Lato" w:cs="Lato"/>
          <w:color w:val="000000" w:themeColor="text1"/>
        </w:rPr>
        <w:t xml:space="preserve">een </w:t>
      </w:r>
      <w:r w:rsidR="009B6B26">
        <w:rPr>
          <w:rFonts w:eastAsia="Lato" w:cs="Lato"/>
          <w:color w:val="000000" w:themeColor="text1"/>
        </w:rPr>
        <w:t xml:space="preserve">gespecialiseerde </w:t>
      </w:r>
      <w:r w:rsidR="00651337">
        <w:rPr>
          <w:rFonts w:eastAsia="Lato" w:cs="Lato"/>
          <w:color w:val="000000" w:themeColor="text1"/>
        </w:rPr>
        <w:t xml:space="preserve">context. </w:t>
      </w:r>
      <w:r w:rsidR="00653BA7" w:rsidRPr="66BB587E">
        <w:rPr>
          <w:rFonts w:eastAsia="Lato" w:cs="Lato"/>
          <w:color w:val="000000" w:themeColor="text1"/>
        </w:rPr>
        <w:t xml:space="preserve"> </w:t>
      </w:r>
    </w:p>
    <w:p w14:paraId="5D6FFE6C" w14:textId="1109800E" w:rsidR="00653BA7" w:rsidRDefault="00653BA7" w:rsidP="00653BA7">
      <w:pPr>
        <w:rPr>
          <w:rFonts w:eastAsia="Lato" w:cs="Lato"/>
          <w:color w:val="000000" w:themeColor="text1"/>
        </w:rPr>
      </w:pPr>
      <w:r w:rsidRPr="66BB587E">
        <w:rPr>
          <w:rFonts w:eastAsia="Lato" w:cs="Lato"/>
          <w:color w:val="000000" w:themeColor="text1"/>
        </w:rPr>
        <w:t xml:space="preserve">Bij twijfel over het gebruik van varianten is het aangewezen om de markt te verkennen om zo de eigen kennis af te toetsen aan de marktrealiteit, bijvoorbeeld via een voorafgaande marktconsultatie. Zie </w:t>
      </w:r>
      <w:r w:rsidRPr="001A18AD">
        <w:rPr>
          <w:rFonts w:eastAsia="Lato" w:cs="Lato"/>
          <w:color w:val="000000" w:themeColor="text1"/>
        </w:rPr>
        <w:t>principe 2 voor</w:t>
      </w:r>
      <w:r w:rsidRPr="66BB587E">
        <w:rPr>
          <w:rFonts w:eastAsia="Lato" w:cs="Lato"/>
          <w:color w:val="000000" w:themeColor="text1"/>
        </w:rPr>
        <w:t xml:space="preserve"> meer informatie over het correct verkennen van de markt in het kader van overheidsopdrachten. </w:t>
      </w:r>
    </w:p>
    <w:p w14:paraId="2C805F56" w14:textId="35F81439" w:rsidR="00653BA7" w:rsidRDefault="00653BA7" w:rsidP="00653BA7">
      <w:pPr>
        <w:rPr>
          <w:rFonts w:eastAsia="Lato" w:cs="Lato"/>
          <w:color w:val="000000" w:themeColor="text1"/>
        </w:rPr>
      </w:pPr>
      <w:r w:rsidRPr="64BE8DF0">
        <w:rPr>
          <w:rFonts w:eastAsia="Lato" w:cs="Lato"/>
          <w:color w:val="000000" w:themeColor="text1"/>
        </w:rPr>
        <w:t xml:space="preserve">De wijzigingen die varianten aanbrengen </w:t>
      </w:r>
      <w:r>
        <w:rPr>
          <w:rFonts w:eastAsia="Lato" w:cs="Lato"/>
          <w:color w:val="000000" w:themeColor="text1"/>
        </w:rPr>
        <w:t>aan</w:t>
      </w:r>
      <w:r w:rsidRPr="64BE8DF0">
        <w:rPr>
          <w:rFonts w:eastAsia="Lato" w:cs="Lato"/>
          <w:color w:val="000000" w:themeColor="text1"/>
        </w:rPr>
        <w:t xml:space="preserve"> de basisoplossing kunnen verschillende vormen aannemen. We </w:t>
      </w:r>
      <w:r>
        <w:rPr>
          <w:rFonts w:eastAsia="Lato" w:cs="Lato"/>
          <w:color w:val="000000" w:themeColor="text1"/>
        </w:rPr>
        <w:t>focussen in dit charter op</w:t>
      </w:r>
      <w:r w:rsidRPr="64BE8DF0">
        <w:rPr>
          <w:rFonts w:eastAsia="Lato" w:cs="Lato"/>
          <w:color w:val="000000" w:themeColor="text1"/>
        </w:rPr>
        <w:t xml:space="preserve"> twee </w:t>
      </w:r>
      <w:r>
        <w:rPr>
          <w:rFonts w:eastAsia="Lato" w:cs="Lato"/>
          <w:color w:val="000000" w:themeColor="text1"/>
        </w:rPr>
        <w:t xml:space="preserve">van de </w:t>
      </w:r>
      <w:r w:rsidRPr="64BE8DF0">
        <w:rPr>
          <w:rFonts w:eastAsia="Lato" w:cs="Lato"/>
          <w:color w:val="000000" w:themeColor="text1"/>
        </w:rPr>
        <w:t>meest relevante</w:t>
      </w:r>
      <w:r>
        <w:rPr>
          <w:rFonts w:eastAsia="Lato" w:cs="Lato"/>
          <w:color w:val="000000" w:themeColor="text1"/>
        </w:rPr>
        <w:t xml:space="preserve"> en voorkomende</w:t>
      </w:r>
      <w:r w:rsidRPr="64BE8DF0">
        <w:rPr>
          <w:rFonts w:eastAsia="Lato" w:cs="Lato"/>
          <w:color w:val="000000" w:themeColor="text1"/>
        </w:rPr>
        <w:t xml:space="preserve"> types</w:t>
      </w:r>
      <w:r w:rsidR="00275FEC">
        <w:rPr>
          <w:rFonts w:eastAsia="Lato" w:cs="Lato"/>
          <w:color w:val="000000" w:themeColor="text1"/>
        </w:rPr>
        <w:t>.</w:t>
      </w:r>
    </w:p>
    <w:p w14:paraId="53D62182" w14:textId="028CA9BA" w:rsidR="00653BA7" w:rsidRPr="00465FC9" w:rsidRDefault="00653BA7">
      <w:pPr>
        <w:pStyle w:val="Bullet1"/>
        <w:rPr>
          <w:lang w:val="nl-BE"/>
        </w:rPr>
      </w:pPr>
      <w:r w:rsidRPr="00465FC9">
        <w:rPr>
          <w:lang w:val="nl-BE"/>
        </w:rPr>
        <w:t>Technische varianten: zij omvatten een wijziging van de technische specificaties omschreven in de basisoplossing. Ze kunnen een effectieve hefboom zijn om meer innovatieve oplossingen aan te trekken die de uitvoering en het resultaat van de opdracht verbeteren. Bovendien stimuleren ze de toegankelijkheid van overheidsopdrachten voor opkomende spelers, in dit geval innovatieve kmo’s. De wijzigingen die technische varianten aanbrengen</w:t>
      </w:r>
      <w:r w:rsidR="00FD1096">
        <w:rPr>
          <w:lang w:val="nl-BE"/>
        </w:rPr>
        <w:t>,</w:t>
      </w:r>
      <w:r w:rsidRPr="00465FC9">
        <w:rPr>
          <w:lang w:val="nl-BE"/>
        </w:rPr>
        <w:t xml:space="preserve"> kunnen onder meer betrekking hebben op:</w:t>
      </w:r>
    </w:p>
    <w:p w14:paraId="58D06C11" w14:textId="77777777" w:rsidR="00653BA7" w:rsidRPr="00465FC9" w:rsidRDefault="00653BA7">
      <w:pPr>
        <w:pStyle w:val="Bullet3"/>
        <w:rPr>
          <w:lang w:val="nl-BE"/>
        </w:rPr>
      </w:pPr>
      <w:r w:rsidRPr="00465FC9">
        <w:rPr>
          <w:lang w:val="nl-BE"/>
        </w:rPr>
        <w:t>een ander ontwerp of technische oplossing dan omschreven in de basisoplossing, zoals bijvoorbeeld het gebruik van andere materialen dan diegene voorgesteld in de basisoplossing, maar die identieke of hogere technische prestatieniveaus bieden;</w:t>
      </w:r>
    </w:p>
    <w:p w14:paraId="4ECE9AF9" w14:textId="4F74AC9F" w:rsidR="00653BA7" w:rsidRPr="00465FC9" w:rsidRDefault="00653BA7">
      <w:pPr>
        <w:pStyle w:val="Bullet3"/>
        <w:rPr>
          <w:lang w:val="nl-BE"/>
        </w:rPr>
      </w:pPr>
      <w:r w:rsidRPr="00465FC9">
        <w:rPr>
          <w:lang w:val="nl-BE"/>
        </w:rPr>
        <w:t>verschillende uitvoeringswijzen, zoals bijvoorbeeld de uitvoering van de opdracht ‘s nachts om zo de doorlooptijd in te korten en overlast te beperken, terwijl de basisoplossing voorziet in een uitvoering overdag.</w:t>
      </w:r>
    </w:p>
    <w:p w14:paraId="671C1148" w14:textId="489443DE" w:rsidR="00653BA7" w:rsidRPr="00465FC9" w:rsidRDefault="00653BA7">
      <w:pPr>
        <w:pStyle w:val="Bullet1"/>
        <w:rPr>
          <w:lang w:val="nl-BE"/>
        </w:rPr>
      </w:pPr>
      <w:r w:rsidRPr="00465FC9">
        <w:rPr>
          <w:lang w:val="nl-BE"/>
        </w:rPr>
        <w:t xml:space="preserve">Milieu- of sociale varianten: die varianten zijn dan weer een interessant en effectief instrument om het aspect duurzaamheid bij een opdracht te bevorderen en kunnen zinvol zijn wanneer: </w:t>
      </w:r>
    </w:p>
    <w:p w14:paraId="3ACFD44B" w14:textId="77777777" w:rsidR="00653BA7" w:rsidRPr="00465FC9" w:rsidRDefault="00653BA7">
      <w:pPr>
        <w:pStyle w:val="Bullet3"/>
        <w:rPr>
          <w:lang w:val="nl-BE"/>
        </w:rPr>
      </w:pPr>
      <w:r w:rsidRPr="00465FC9">
        <w:rPr>
          <w:lang w:val="nl-BE"/>
        </w:rPr>
        <w:lastRenderedPageBreak/>
        <w:t>de aanbesteder niet in staat is om de technische eisen die verband houden met de milieu- of sociale overwegingen zelf te omschrijven, bijvoorbeeld bij schoonmaakcontracten waarbij sociale varianten ingediend kunnen worden die de arbeidsomstandigheden van het personeel zichtbaar verbeteren;</w:t>
      </w:r>
    </w:p>
    <w:p w14:paraId="5210129E" w14:textId="275E30DB" w:rsidR="00653BA7" w:rsidRPr="00465FC9" w:rsidRDefault="00653BA7">
      <w:pPr>
        <w:pStyle w:val="Bullet3"/>
        <w:rPr>
          <w:lang w:val="nl-BE"/>
        </w:rPr>
      </w:pPr>
      <w:r w:rsidRPr="00465FC9">
        <w:rPr>
          <w:lang w:val="nl-BE"/>
        </w:rPr>
        <w:t>de aanbesteder het mogelijk wil maken om efficiëntere of innovatievere oplossingen voor te stellen, bijvoorbeeld bij een opdracht voor grondwerken kan een variant worden toegestaan die in een betere verwerking en/of recyclage van het boorafval voorziet.</w:t>
      </w:r>
    </w:p>
    <w:p w14:paraId="4DA71B47" w14:textId="1C462837" w:rsidR="00653BA7" w:rsidRDefault="00653BA7" w:rsidP="00653BA7">
      <w:pPr>
        <w:rPr>
          <w:rFonts w:eastAsia="Lato" w:cs="Lato"/>
          <w:color w:val="000000" w:themeColor="text1"/>
        </w:rPr>
      </w:pPr>
      <w:r w:rsidRPr="00BE000B">
        <w:rPr>
          <w:rFonts w:eastAsia="Lato" w:cs="Lato"/>
          <w:b/>
          <w:bCs/>
          <w:color w:val="000000" w:themeColor="text1"/>
        </w:rPr>
        <w:t>Logischerwijs mag de reikwijdte van de wijzigingen in geen geval het voorwerp van de opdracht of de initiële voorwaarden van de oproep tot mededinging wezenlijk wijzigen</w:t>
      </w:r>
      <w:r w:rsidRPr="000848F6">
        <w:rPr>
          <w:rFonts w:eastAsia="Lato" w:cs="Lato"/>
          <w:b/>
          <w:bCs/>
          <w:color w:val="000000" w:themeColor="text1"/>
        </w:rPr>
        <w:t>.</w:t>
      </w:r>
      <w:r w:rsidRPr="051DD82C">
        <w:rPr>
          <w:rFonts w:eastAsia="Lato" w:cs="Lato"/>
          <w:color w:val="000000" w:themeColor="text1"/>
        </w:rPr>
        <w:t xml:space="preserve"> Bij plaatsingsprocedures voor opdrachten voor leveringen of diensten mag de </w:t>
      </w:r>
      <w:r w:rsidR="00FD34C9">
        <w:rPr>
          <w:rFonts w:eastAsia="Lato" w:cs="Lato"/>
          <w:color w:val="000000" w:themeColor="text1"/>
        </w:rPr>
        <w:t>aanbesteder</w:t>
      </w:r>
      <w:r w:rsidRPr="051DD82C">
        <w:rPr>
          <w:rFonts w:eastAsia="Lato" w:cs="Lato"/>
          <w:color w:val="000000" w:themeColor="text1"/>
        </w:rPr>
        <w:t xml:space="preserve"> een variante niet afwijzen uitsluitend omdat d</w:t>
      </w:r>
      <w:r>
        <w:rPr>
          <w:rFonts w:eastAsia="Lato" w:cs="Lato"/>
          <w:color w:val="000000" w:themeColor="text1"/>
        </w:rPr>
        <w:t>ie</w:t>
      </w:r>
      <w:r w:rsidRPr="051DD82C">
        <w:rPr>
          <w:rFonts w:eastAsia="Lato" w:cs="Lato"/>
          <w:color w:val="000000" w:themeColor="text1"/>
        </w:rPr>
        <w:t>, mocht deze</w:t>
      </w:r>
      <w:r>
        <w:rPr>
          <w:rFonts w:eastAsia="Lato" w:cs="Lato"/>
          <w:color w:val="000000" w:themeColor="text1"/>
        </w:rPr>
        <w:t xml:space="preserve"> variante</w:t>
      </w:r>
      <w:r w:rsidRPr="051DD82C">
        <w:rPr>
          <w:rFonts w:eastAsia="Lato" w:cs="Lato"/>
          <w:color w:val="000000" w:themeColor="text1"/>
        </w:rPr>
        <w:t xml:space="preserve"> worden gekozen, tot een opdracht voor diensten in plaats van een opdracht voor leveringen, dan wel omgekeerd</w:t>
      </w:r>
      <w:r w:rsidR="00FD34C9">
        <w:rPr>
          <w:rFonts w:eastAsia="Lato" w:cs="Lato"/>
          <w:color w:val="000000" w:themeColor="text1"/>
        </w:rPr>
        <w:t>,</w:t>
      </w:r>
      <w:r w:rsidRPr="051DD82C">
        <w:rPr>
          <w:rFonts w:eastAsia="Lato" w:cs="Lato"/>
          <w:color w:val="000000" w:themeColor="text1"/>
        </w:rPr>
        <w:t xml:space="preserve"> zou leiden.</w:t>
      </w:r>
    </w:p>
    <w:p w14:paraId="1ECE5181" w14:textId="780C7FC2" w:rsidR="00653BA7" w:rsidRDefault="00653BA7" w:rsidP="00653BA7">
      <w:pPr>
        <w:rPr>
          <w:rFonts w:eastAsia="Lato" w:cs="Lato"/>
          <w:color w:val="000000" w:themeColor="text1"/>
        </w:rPr>
      </w:pPr>
      <w:r w:rsidRPr="007A7D60">
        <w:rPr>
          <w:rFonts w:eastAsia="Lato" w:cs="Lato"/>
          <w:b/>
          <w:bCs/>
          <w:color w:val="000000" w:themeColor="text1"/>
        </w:rPr>
        <w:t xml:space="preserve">De vrije varianten bieden de mogelijkheid aan ondernemingen om, naast de basisofferte, alternatieve oplossingen voor te stellen, waarvan de </w:t>
      </w:r>
      <w:r w:rsidR="002F554E">
        <w:rPr>
          <w:rFonts w:eastAsia="Lato" w:cs="Lato"/>
          <w:b/>
          <w:bCs/>
          <w:color w:val="000000" w:themeColor="text1"/>
        </w:rPr>
        <w:t>aanbesteder</w:t>
      </w:r>
      <w:r w:rsidRPr="007A7D60">
        <w:rPr>
          <w:rFonts w:eastAsia="Lato" w:cs="Lato"/>
          <w:b/>
          <w:bCs/>
          <w:color w:val="000000" w:themeColor="text1"/>
        </w:rPr>
        <w:t xml:space="preserve"> misschien geen weet heeft</w:t>
      </w:r>
      <w:r w:rsidRPr="000848F6">
        <w:rPr>
          <w:rFonts w:eastAsia="Lato" w:cs="Lato"/>
          <w:b/>
          <w:bCs/>
          <w:color w:val="000000" w:themeColor="text1"/>
        </w:rPr>
        <w:t>.</w:t>
      </w:r>
      <w:r w:rsidRPr="66BB587E">
        <w:rPr>
          <w:rFonts w:eastAsia="Lato" w:cs="Lato"/>
          <w:color w:val="000000" w:themeColor="text1"/>
        </w:rPr>
        <w:t xml:space="preserve"> De </w:t>
      </w:r>
      <w:r w:rsidR="002F554E">
        <w:rPr>
          <w:rFonts w:eastAsia="Lato" w:cs="Lato"/>
          <w:color w:val="000000" w:themeColor="text1"/>
        </w:rPr>
        <w:t>aanbesteder</w:t>
      </w:r>
      <w:r w:rsidRPr="66BB587E">
        <w:rPr>
          <w:rFonts w:eastAsia="Lato" w:cs="Lato"/>
          <w:color w:val="000000" w:themeColor="text1"/>
        </w:rPr>
        <w:t xml:space="preserve"> kan dan vooralsnog de vrije variante al dan niet in aanmerking nemen bij de keuze van de economisch meest voordelige offerte. </w:t>
      </w:r>
      <w:r w:rsidRPr="00647B45">
        <w:rPr>
          <w:rFonts w:eastAsia="Lato" w:cs="Lato"/>
          <w:b/>
          <w:bCs/>
          <w:color w:val="0070C0"/>
        </w:rPr>
        <w:t>Het niet verbieden van vrije varianten is met andere woorden aangewezen.</w:t>
      </w:r>
      <w:r w:rsidRPr="66BB587E">
        <w:rPr>
          <w:rFonts w:eastAsia="Lato" w:cs="Lato"/>
          <w:color w:val="000000" w:themeColor="text1"/>
        </w:rPr>
        <w:t xml:space="preserve"> </w:t>
      </w:r>
    </w:p>
    <w:p w14:paraId="6C198C1D" w14:textId="0198CBEE" w:rsidR="00653BA7" w:rsidRDefault="00653BA7" w:rsidP="00653BA7">
      <w:pPr>
        <w:rPr>
          <w:rFonts w:eastAsia="Lato" w:cs="Lato"/>
          <w:color w:val="000000" w:themeColor="text1"/>
        </w:rPr>
      </w:pPr>
      <w:r w:rsidRPr="00A94315">
        <w:rPr>
          <w:rFonts w:eastAsia="Lato" w:cs="Lato"/>
          <w:color w:val="000000" w:themeColor="text1"/>
        </w:rPr>
        <w:t xml:space="preserve">Indien de aanbesteder vrije varianten toch expliciet in de opdrachtdocumenten zou verbieden, is het evenwel niet aangewezen om </w:t>
      </w:r>
      <w:r w:rsidR="005C3E3F" w:rsidRPr="00A94315">
        <w:rPr>
          <w:rFonts w:eastAsia="Lato" w:cs="Lato"/>
          <w:color w:val="000000" w:themeColor="text1"/>
        </w:rPr>
        <w:t xml:space="preserve">het niet naleven van </w:t>
      </w:r>
      <w:r w:rsidRPr="00A94315">
        <w:rPr>
          <w:rFonts w:eastAsia="Lato" w:cs="Lato"/>
          <w:color w:val="000000" w:themeColor="text1"/>
        </w:rPr>
        <w:t>dit verbod te sanctioneren met de nietigheid van de offerte.</w:t>
      </w:r>
      <w:r w:rsidRPr="64BE8DF0">
        <w:rPr>
          <w:rFonts w:eastAsia="Lato" w:cs="Lato"/>
          <w:color w:val="000000" w:themeColor="text1"/>
        </w:rPr>
        <w:t xml:space="preserve"> </w:t>
      </w:r>
      <w:r>
        <w:rPr>
          <w:rFonts w:eastAsia="Lato" w:cs="Lato"/>
          <w:color w:val="000000" w:themeColor="text1"/>
        </w:rPr>
        <w:t>In dat geval</w:t>
      </w:r>
      <w:r w:rsidRPr="64BE8DF0">
        <w:rPr>
          <w:rFonts w:eastAsia="Lato" w:cs="Lato"/>
          <w:color w:val="000000" w:themeColor="text1"/>
        </w:rPr>
        <w:t xml:space="preserve"> zou </w:t>
      </w:r>
      <w:r>
        <w:rPr>
          <w:rFonts w:eastAsia="Lato" w:cs="Lato"/>
          <w:color w:val="000000" w:themeColor="text1"/>
        </w:rPr>
        <w:t>de aanbesteder</w:t>
      </w:r>
      <w:r w:rsidRPr="64BE8DF0">
        <w:rPr>
          <w:rFonts w:eastAsia="Lato" w:cs="Lato"/>
          <w:color w:val="000000" w:themeColor="text1"/>
        </w:rPr>
        <w:t xml:space="preserve"> immers ook niet met de basisofferte rekening mogen houden, wat op zijn beurt nadelig kan zijn in het kader van de mededinging en economische doeltreffendheid.</w:t>
      </w:r>
    </w:p>
    <w:p w14:paraId="597EE64B" w14:textId="2A0AC9DD" w:rsidR="00AC77D4" w:rsidRDefault="00AC77D4" w:rsidP="00AC77D4">
      <w:r w:rsidRPr="7A912B87">
        <w:t xml:space="preserve">Bij de vereiste en toegestane varianten moeten de </w:t>
      </w:r>
      <w:r w:rsidR="00BA5A21">
        <w:t>aanbesteders</w:t>
      </w:r>
      <w:r w:rsidRPr="7A912B87">
        <w:t xml:space="preserve"> </w:t>
      </w:r>
      <w:r>
        <w:t>onder meer volgende</w:t>
      </w:r>
      <w:r w:rsidRPr="7A912B87">
        <w:t xml:space="preserve"> aspecten in acht nemen:</w:t>
      </w:r>
    </w:p>
    <w:p w14:paraId="7455A130" w14:textId="6B990F2C" w:rsidR="00AC77D4" w:rsidRPr="00813E03" w:rsidRDefault="00255F45">
      <w:pPr>
        <w:pStyle w:val="Bullet1"/>
        <w:rPr>
          <w:lang w:val="nl-BE"/>
        </w:rPr>
      </w:pPr>
      <w:r>
        <w:rPr>
          <w:lang w:val="nl-BE"/>
        </w:rPr>
        <w:t>d</w:t>
      </w:r>
      <w:r w:rsidR="00AC77D4" w:rsidRPr="00465FC9">
        <w:rPr>
          <w:lang w:val="nl-BE"/>
        </w:rPr>
        <w:t xml:space="preserve">e opdrachtdocumenten vermelden of varianten slechts kunnen worden ingediend wanneer ook een basisofferte is ingediend. </w:t>
      </w:r>
      <w:r w:rsidR="00AC77D4" w:rsidRPr="0087384C">
        <w:rPr>
          <w:b/>
          <w:bCs/>
          <w:lang w:val="nl-BE"/>
        </w:rPr>
        <w:t>De aanbesteder moet rekening houden met het feit dat het vereisen van een basisofferte middelen vraagt van de onderneming</w:t>
      </w:r>
      <w:r w:rsidR="00AC77D4" w:rsidRPr="00465FC9">
        <w:rPr>
          <w:lang w:val="nl-BE"/>
        </w:rPr>
        <w:t xml:space="preserve">, middelen die niet besteed kunnen worden aan het formuleren van een potentieel interessante variante. </w:t>
      </w:r>
      <w:r w:rsidR="00AC77D4" w:rsidRPr="00813E03">
        <w:rPr>
          <w:lang w:val="nl-BE"/>
        </w:rPr>
        <w:t>Dat geldt nog meer voor de kleinere ondernemingen die sowieso beperkter zijn in hun beschikbare middelen.</w:t>
      </w:r>
    </w:p>
    <w:p w14:paraId="14159564" w14:textId="1BC2EDE7" w:rsidR="00AC77D4" w:rsidRPr="00813E03" w:rsidRDefault="00CB25E4">
      <w:pPr>
        <w:pStyle w:val="Bullet1"/>
        <w:rPr>
          <w:lang w:val="nl-BE"/>
        </w:rPr>
      </w:pPr>
      <w:r>
        <w:rPr>
          <w:lang w:val="nl-BE"/>
        </w:rPr>
        <w:t>d</w:t>
      </w:r>
      <w:r w:rsidR="00AC77D4" w:rsidRPr="00813E03">
        <w:rPr>
          <w:lang w:val="nl-BE"/>
        </w:rPr>
        <w:t>e minimumeisen aan dewelke de varianten moeten voldoen, moeten in de opdrachtdocumenten worden vermeld. Dat kan op verschillende manieren:</w:t>
      </w:r>
    </w:p>
    <w:p w14:paraId="1B10E6FC" w14:textId="5D7FEAB0" w:rsidR="00AC77D4" w:rsidRPr="00FD5175" w:rsidRDefault="00FD5175">
      <w:pPr>
        <w:pStyle w:val="Bullet3"/>
        <w:rPr>
          <w:lang w:val="nl-BE"/>
        </w:rPr>
      </w:pPr>
      <w:r w:rsidRPr="00FD5175">
        <w:rPr>
          <w:lang w:val="nl-BE"/>
        </w:rPr>
        <w:t>h</w:t>
      </w:r>
      <w:r w:rsidR="00AC77D4" w:rsidRPr="00FD5175">
        <w:rPr>
          <w:lang w:val="nl-BE"/>
        </w:rPr>
        <w:t>et expliciet vermelden van de delen van het technische bestek die niet kunnen worden gewijzigd, dewelke dan gelden als de minimumeisen</w:t>
      </w:r>
      <w:r>
        <w:rPr>
          <w:lang w:val="nl-BE"/>
        </w:rPr>
        <w:t>;</w:t>
      </w:r>
    </w:p>
    <w:p w14:paraId="727A1A39" w14:textId="5A43C0D9" w:rsidR="00AC77D4" w:rsidRPr="00FD5175" w:rsidRDefault="00FD5175">
      <w:pPr>
        <w:pStyle w:val="Bullet3"/>
        <w:rPr>
          <w:lang w:val="nl-BE"/>
        </w:rPr>
      </w:pPr>
      <w:r w:rsidRPr="00FD5175">
        <w:rPr>
          <w:lang w:val="nl-BE"/>
        </w:rPr>
        <w:t>d</w:t>
      </w:r>
      <w:r w:rsidR="00AC77D4" w:rsidRPr="00FD5175">
        <w:rPr>
          <w:lang w:val="nl-BE"/>
        </w:rPr>
        <w:t>e contractuele bepalingen identificeren die het voorwerp kunnen uitmaken van een variant</w:t>
      </w:r>
      <w:r w:rsidR="00AF6AD8">
        <w:rPr>
          <w:lang w:val="nl-BE"/>
        </w:rPr>
        <w:t>e</w:t>
      </w:r>
      <w:r w:rsidR="00AC77D4" w:rsidRPr="00FD5175">
        <w:rPr>
          <w:lang w:val="nl-BE"/>
        </w:rPr>
        <w:t>; de niet-genoemde bepalingen vormen dan de minimumeisen</w:t>
      </w:r>
      <w:r>
        <w:rPr>
          <w:lang w:val="nl-BE"/>
        </w:rPr>
        <w:t>;</w:t>
      </w:r>
    </w:p>
    <w:p w14:paraId="514D0440" w14:textId="4BD39844" w:rsidR="00AC77D4" w:rsidRPr="00FD5175" w:rsidRDefault="00FD5175">
      <w:pPr>
        <w:pStyle w:val="Bullet3"/>
        <w:rPr>
          <w:lang w:val="nl-BE"/>
        </w:rPr>
      </w:pPr>
      <w:r w:rsidRPr="00FD5175">
        <w:rPr>
          <w:lang w:val="nl-BE"/>
        </w:rPr>
        <w:t>h</w:t>
      </w:r>
      <w:r w:rsidR="00AC77D4" w:rsidRPr="00FD5175">
        <w:rPr>
          <w:lang w:val="nl-BE"/>
        </w:rPr>
        <w:t>et bepalen van de minimumeisen op basis van functionele eisen, bijvoorbeeld in het kader van de aankoop van kantoormeubilair kunnen inschrijvers andere soorten materialen aanbieden die aan bepaalde kenmerken voldoen (bijvoorbeeld de paneeldichtheid uitgedrukt in kg/m³). Deze werkwijze is bijzonder geschikt voor technische varianten en laat ook de inschrijvers voldoende ruimte om innovatieve oplossingen voor te stellen</w:t>
      </w:r>
      <w:r w:rsidRPr="00FD5175">
        <w:rPr>
          <w:lang w:val="nl-BE"/>
        </w:rPr>
        <w:t>;</w:t>
      </w:r>
    </w:p>
    <w:p w14:paraId="12A8FBB8" w14:textId="22F8019F" w:rsidR="00AC77D4" w:rsidRPr="00FD5175" w:rsidRDefault="00FD5175">
      <w:pPr>
        <w:pStyle w:val="Bullet3"/>
        <w:rPr>
          <w:lang w:val="nl-BE"/>
        </w:rPr>
      </w:pPr>
      <w:r w:rsidRPr="00FD5175">
        <w:rPr>
          <w:lang w:val="nl-BE"/>
        </w:rPr>
        <w:t>d</w:t>
      </w:r>
      <w:r w:rsidR="00AC77D4" w:rsidRPr="00FD5175">
        <w:rPr>
          <w:lang w:val="nl-BE"/>
        </w:rPr>
        <w:t>e verwachte variant</w:t>
      </w:r>
      <w:r w:rsidR="00424951">
        <w:rPr>
          <w:lang w:val="nl-BE"/>
        </w:rPr>
        <w:t>e</w:t>
      </w:r>
      <w:r w:rsidR="00AC77D4" w:rsidRPr="00FD5175">
        <w:rPr>
          <w:lang w:val="nl-BE"/>
        </w:rPr>
        <w:t xml:space="preserve"> zelf nauwkeurig definiëren, bijvoorbeeld in het kader van face-to-face enquêtes bepalen dat de vereiste variant</w:t>
      </w:r>
      <w:r w:rsidR="00424951">
        <w:rPr>
          <w:lang w:val="nl-BE"/>
        </w:rPr>
        <w:t>e</w:t>
      </w:r>
      <w:r w:rsidR="00AC77D4" w:rsidRPr="00FD5175">
        <w:rPr>
          <w:lang w:val="nl-BE"/>
        </w:rPr>
        <w:t xml:space="preserve"> een digitale drager betreft voor het invoeren van de antwoorden</w:t>
      </w:r>
      <w:r>
        <w:rPr>
          <w:lang w:val="nl-BE"/>
        </w:rPr>
        <w:t>.</w:t>
      </w:r>
    </w:p>
    <w:p w14:paraId="77CD8DF8" w14:textId="4E451BD5" w:rsidR="00AC77D4" w:rsidRDefault="00485248" w:rsidP="00624A63">
      <w:pPr>
        <w:pStyle w:val="Indent1"/>
      </w:pPr>
      <w:r>
        <w:rPr>
          <w:u w:val="single"/>
        </w:rPr>
        <w:t>Opmerking</w:t>
      </w:r>
      <w:r w:rsidRPr="00485248">
        <w:t xml:space="preserve">: </w:t>
      </w:r>
      <w:r>
        <w:t>v</w:t>
      </w:r>
      <w:r w:rsidR="00AC77D4" w:rsidRPr="66BB587E">
        <w:t>ermijd een té uitgebreid pakket aan minimum- of specifieke eisen</w:t>
      </w:r>
      <w:r>
        <w:t>.</w:t>
      </w:r>
      <w:r w:rsidR="00AC77D4" w:rsidRPr="66BB587E">
        <w:t xml:space="preserve"> </w:t>
      </w:r>
      <w:r>
        <w:t>H</w:t>
      </w:r>
      <w:r w:rsidR="00AC77D4" w:rsidRPr="66BB587E">
        <w:t>et gaat hier immers om varianten waarbij het vaak de bedoeling is dat ze net verrassend en innovatief uit de hoek komen en leiden tot betere prestaties.</w:t>
      </w:r>
      <w:r w:rsidR="00AC77D4" w:rsidRPr="66BB587E">
        <w:rPr>
          <w:b/>
          <w:bCs/>
        </w:rPr>
        <w:t xml:space="preserve"> In het kader van de toegang van kmo’s tot overheidsopdrachten en de toegang van ondernemingen meer in het algemeen, </w:t>
      </w:r>
      <w:r w:rsidR="00AC77D4" w:rsidRPr="002C0FA6">
        <w:rPr>
          <w:b/>
          <w:bCs/>
          <w:color w:val="0070C0"/>
        </w:rPr>
        <w:t>lijkt de derde optie, namelijk op basis van functionele eisen</w:t>
      </w:r>
      <w:r w:rsidR="00475420" w:rsidRPr="002C0FA6">
        <w:rPr>
          <w:b/>
          <w:bCs/>
          <w:color w:val="0070C0"/>
        </w:rPr>
        <w:t xml:space="preserve"> werken</w:t>
      </w:r>
      <w:r w:rsidR="00AC77D4" w:rsidRPr="002C0FA6">
        <w:rPr>
          <w:b/>
          <w:bCs/>
          <w:color w:val="0070C0"/>
        </w:rPr>
        <w:t>, diegene die het vaakst toepasbaar zal zijn en het meeste potentieel biedt, zowel voor aanbesteder als onderneming.</w:t>
      </w:r>
    </w:p>
    <w:p w14:paraId="706F4A5B" w14:textId="6C004B1F" w:rsidR="00AC77D4" w:rsidRDefault="00AC77D4" w:rsidP="00756E0F">
      <w:r w:rsidRPr="66BB587E">
        <w:t xml:space="preserve">Voor de </w:t>
      </w:r>
      <w:r w:rsidRPr="00A31EA1">
        <w:rPr>
          <w:b/>
          <w:bCs/>
        </w:rPr>
        <w:t>gunningscriteria</w:t>
      </w:r>
      <w:r w:rsidRPr="66BB587E">
        <w:t xml:space="preserve"> is het belangrijk om </w:t>
      </w:r>
      <w:r w:rsidRPr="007342D1">
        <w:rPr>
          <w:i/>
          <w:iCs/>
        </w:rPr>
        <w:t>die</w:t>
      </w:r>
      <w:r w:rsidRPr="66BB587E">
        <w:t xml:space="preserve"> essentiële kenmerken te identificeren die waarschijnlijk zullen verschillen van de ene offerte tot de andere offerte. Die kenmerken, waarop dus waarschijnlijk het verschil zal </w:t>
      </w:r>
      <w:r w:rsidR="00A879AA" w:rsidRPr="66BB587E">
        <w:t xml:space="preserve">worden </w:t>
      </w:r>
      <w:r w:rsidRPr="66BB587E">
        <w:t xml:space="preserve">gemaakt tussen ondernemingen (en hun offertes), zijn </w:t>
      </w:r>
      <w:r w:rsidRPr="66BB587E">
        <w:lastRenderedPageBreak/>
        <w:t>van groot belang voor het bepalen (kiezen) van de gunningscriteria en het correct kunnen beoordelen van de diverse offertes.</w:t>
      </w:r>
    </w:p>
    <w:p w14:paraId="788488C8" w14:textId="09552686" w:rsidR="00AC77D4" w:rsidRPr="00465FC9" w:rsidRDefault="00AC77D4">
      <w:pPr>
        <w:pStyle w:val="Bullet1"/>
        <w:rPr>
          <w:lang w:val="nl-BE"/>
        </w:rPr>
      </w:pPr>
      <w:r w:rsidRPr="00756E0F">
        <w:rPr>
          <w:lang w:val="nl-BE"/>
        </w:rPr>
        <w:t>Formuleer dan ook, indien relevant, de nodige subgunningscriteria</w:t>
      </w:r>
      <w:r w:rsidR="00756E0F" w:rsidRPr="00756E0F">
        <w:rPr>
          <w:lang w:val="nl-BE"/>
        </w:rPr>
        <w:t>.</w:t>
      </w:r>
      <w:r w:rsidRPr="00756E0F">
        <w:rPr>
          <w:lang w:val="nl-BE"/>
        </w:rPr>
        <w:t xml:space="preserve"> Wanneer bijvoorbeeld een variant</w:t>
      </w:r>
      <w:r w:rsidR="00F458D8">
        <w:rPr>
          <w:lang w:val="nl-BE"/>
        </w:rPr>
        <w:t>e</w:t>
      </w:r>
      <w:r w:rsidRPr="00756E0F">
        <w:rPr>
          <w:lang w:val="nl-BE"/>
        </w:rPr>
        <w:t xml:space="preserve"> over de manier van uitvoering van een opdracht vereist of toegestaan is, kan de voorkeur gegeven worden aan (sub)criteria met betrekking tot leveringstijden, uitvoeringstermijnen, dienst na verkoop, het innovatieve karakter van de voorgestelde oplossing, kwaliteit van het personeel... </w:t>
      </w:r>
      <w:r w:rsidRPr="00465FC9">
        <w:rPr>
          <w:lang w:val="nl-BE"/>
        </w:rPr>
        <w:t>Ook kan een variant</w:t>
      </w:r>
      <w:r w:rsidR="008435E0">
        <w:rPr>
          <w:lang w:val="nl-BE"/>
        </w:rPr>
        <w:t>e</w:t>
      </w:r>
      <w:r w:rsidRPr="00465FC9">
        <w:rPr>
          <w:lang w:val="nl-BE"/>
        </w:rPr>
        <w:t xml:space="preserve"> er bijvoorbeeld op gericht zijn om meer sociale of ecologische overwegingen te integreren en dan zouden criteria die verband houden met die thema’s in het leven geroepen kunnen worden, op voorwaarde natuurlijk dat ze verband houden met het voorwerp van de opdracht of de uitvoering ervan.</w:t>
      </w:r>
    </w:p>
    <w:p w14:paraId="0F804716" w14:textId="27A0E57F" w:rsidR="00AC77D4" w:rsidRPr="00465FC9" w:rsidRDefault="00AC77D4">
      <w:pPr>
        <w:pStyle w:val="Bullet1"/>
        <w:rPr>
          <w:lang w:val="nl-BE"/>
        </w:rPr>
      </w:pPr>
      <w:r w:rsidRPr="00465FC9">
        <w:rPr>
          <w:lang w:val="nl-BE"/>
        </w:rPr>
        <w:t xml:space="preserve">De gekozen (sub)gunningscriteria moeten in ieder geval kunnen worden toegepast op de vereiste en toegestane varianten die aan de minimumvoorschriften voldoen én op de basisofferte. Het is belangrijk dat de aanbesteder gelijktijdig met de keuze van (sub)criteria volgende denkoefening maakt: </w:t>
      </w:r>
      <w:r w:rsidR="00427174">
        <w:rPr>
          <w:lang w:val="nl-BE"/>
        </w:rPr>
        <w:t>welke</w:t>
      </w:r>
      <w:r w:rsidRPr="00465FC9">
        <w:rPr>
          <w:lang w:val="nl-BE"/>
        </w:rPr>
        <w:t xml:space="preserve"> beoordelingsschalen of andere benchmarktechnieken </w:t>
      </w:r>
      <w:r w:rsidR="00427174">
        <w:rPr>
          <w:lang w:val="nl-BE"/>
        </w:rPr>
        <w:t xml:space="preserve">moeten </w:t>
      </w:r>
      <w:r w:rsidR="00C37A5C">
        <w:rPr>
          <w:lang w:val="nl-BE"/>
        </w:rPr>
        <w:t xml:space="preserve">worden </w:t>
      </w:r>
      <w:r w:rsidR="00427174">
        <w:rPr>
          <w:lang w:val="nl-BE"/>
        </w:rPr>
        <w:t xml:space="preserve">voorzien </w:t>
      </w:r>
      <w:r w:rsidR="00C37A5C">
        <w:rPr>
          <w:lang w:val="nl-BE"/>
        </w:rPr>
        <w:t>op</w:t>
      </w:r>
      <w:r w:rsidR="00427174">
        <w:rPr>
          <w:lang w:val="nl-BE"/>
        </w:rPr>
        <w:t>dat</w:t>
      </w:r>
      <w:r w:rsidRPr="00465FC9">
        <w:rPr>
          <w:lang w:val="nl-BE"/>
        </w:rPr>
        <w:t xml:space="preserve"> de evaluatie van alle oplossingen (basis en varianten) mogelijk </w:t>
      </w:r>
      <w:r w:rsidR="00427174">
        <w:rPr>
          <w:lang w:val="nl-BE"/>
        </w:rPr>
        <w:t>wordt</w:t>
      </w:r>
      <w:r w:rsidR="00C37A5C">
        <w:rPr>
          <w:lang w:val="nl-BE"/>
        </w:rPr>
        <w:t>?</w:t>
      </w:r>
      <w:r w:rsidRPr="00465FC9">
        <w:rPr>
          <w:lang w:val="nl-BE"/>
        </w:rPr>
        <w:t xml:space="preserve"> In het voorbeeld over de aankoop van kantoormeubilair kan die beoordeling als volgt </w:t>
      </w:r>
      <w:r w:rsidR="00C37A5C">
        <w:rPr>
          <w:lang w:val="nl-BE"/>
        </w:rPr>
        <w:t>verlopen</w:t>
      </w:r>
      <w:r w:rsidRPr="00465FC9">
        <w:rPr>
          <w:lang w:val="nl-BE"/>
        </w:rPr>
        <w:t>:</w:t>
      </w:r>
    </w:p>
    <w:tbl>
      <w:tblPr>
        <w:tblStyle w:val="Tabelraster"/>
        <w:tblW w:w="5000" w:type="pct"/>
        <w:tblLook w:val="06A0" w:firstRow="1" w:lastRow="0" w:firstColumn="1" w:lastColumn="0" w:noHBand="1" w:noVBand="1"/>
      </w:tblPr>
      <w:tblGrid>
        <w:gridCol w:w="2218"/>
        <w:gridCol w:w="2287"/>
        <w:gridCol w:w="3989"/>
      </w:tblGrid>
      <w:tr w:rsidR="000B5591" w:rsidRPr="00743DD3" w14:paraId="303F9FE5" w14:textId="77777777" w:rsidTr="00A0112C">
        <w:trPr>
          <w:trHeight w:val="300"/>
        </w:trPr>
        <w:tc>
          <w:tcPr>
            <w:tcW w:w="5000" w:type="pct"/>
            <w:gridSpan w:val="3"/>
            <w:shd w:val="clear" w:color="auto" w:fill="D9D9D9" w:themeFill="background1" w:themeFillShade="D9"/>
          </w:tcPr>
          <w:p w14:paraId="1BC6AF4B" w14:textId="77777777" w:rsidR="000B5591" w:rsidRPr="00743DD3" w:rsidRDefault="000B5591" w:rsidP="00763E4C">
            <w:pPr>
              <w:jc w:val="center"/>
              <w:rPr>
                <w:rFonts w:eastAsia="Lato" w:cs="Lato"/>
                <w:b/>
                <w:bCs/>
                <w:color w:val="000000" w:themeColor="text1"/>
              </w:rPr>
            </w:pPr>
            <w:r w:rsidRPr="00743DD3">
              <w:rPr>
                <w:rFonts w:eastAsia="Lato" w:cs="Lato"/>
                <w:b/>
                <w:bCs/>
                <w:color w:val="000000" w:themeColor="text1"/>
              </w:rPr>
              <w:t>Criterium “kwaliteit van het materiaal”</w:t>
            </w:r>
          </w:p>
        </w:tc>
      </w:tr>
      <w:tr w:rsidR="000B5591" w:rsidRPr="00743DD3" w14:paraId="7A0A9A79" w14:textId="77777777" w:rsidTr="00A0112C">
        <w:trPr>
          <w:trHeight w:val="300"/>
        </w:trPr>
        <w:tc>
          <w:tcPr>
            <w:tcW w:w="1306" w:type="pct"/>
          </w:tcPr>
          <w:p w14:paraId="13E5F141" w14:textId="64BE1FC0" w:rsidR="000B5591" w:rsidRPr="00743DD3" w:rsidRDefault="00743DD3" w:rsidP="00763E4C">
            <w:pPr>
              <w:jc w:val="center"/>
              <w:rPr>
                <w:rFonts w:eastAsia="Lato" w:cs="Lato"/>
                <w:b/>
                <w:bCs/>
                <w:color w:val="000000" w:themeColor="text1"/>
              </w:rPr>
            </w:pPr>
            <w:r w:rsidRPr="00743DD3">
              <w:rPr>
                <w:rFonts w:eastAsia="Lato" w:cs="Lato"/>
                <w:b/>
                <w:bCs/>
                <w:color w:val="000000" w:themeColor="text1"/>
              </w:rPr>
              <w:t>Subgunningscriteria</w:t>
            </w:r>
          </w:p>
        </w:tc>
        <w:tc>
          <w:tcPr>
            <w:tcW w:w="1346" w:type="pct"/>
          </w:tcPr>
          <w:p w14:paraId="77651504" w14:textId="77777777" w:rsidR="000B5591" w:rsidRPr="00743DD3" w:rsidRDefault="000B5591" w:rsidP="00763E4C">
            <w:pPr>
              <w:jc w:val="center"/>
              <w:rPr>
                <w:rFonts w:eastAsia="Lato" w:cs="Lato"/>
                <w:b/>
                <w:bCs/>
                <w:color w:val="000000" w:themeColor="text1"/>
              </w:rPr>
            </w:pPr>
            <w:r w:rsidRPr="00743DD3">
              <w:rPr>
                <w:rFonts w:eastAsia="Lato" w:cs="Lato"/>
                <w:b/>
                <w:bCs/>
                <w:color w:val="000000" w:themeColor="text1"/>
              </w:rPr>
              <w:t>Minimumeis</w:t>
            </w:r>
          </w:p>
        </w:tc>
        <w:tc>
          <w:tcPr>
            <w:tcW w:w="2348" w:type="pct"/>
          </w:tcPr>
          <w:p w14:paraId="7BE42273" w14:textId="77777777" w:rsidR="000B5591" w:rsidRPr="00743DD3" w:rsidRDefault="000B5591" w:rsidP="00763E4C">
            <w:pPr>
              <w:jc w:val="center"/>
              <w:rPr>
                <w:rFonts w:eastAsia="Lato" w:cs="Lato"/>
                <w:b/>
                <w:bCs/>
                <w:color w:val="000000" w:themeColor="text1"/>
              </w:rPr>
            </w:pPr>
            <w:r w:rsidRPr="00743DD3">
              <w:rPr>
                <w:rFonts w:eastAsia="Lato" w:cs="Lato"/>
                <w:b/>
                <w:bCs/>
                <w:color w:val="000000" w:themeColor="text1"/>
              </w:rPr>
              <w:t>Beoordelingsschaal</w:t>
            </w:r>
          </w:p>
        </w:tc>
      </w:tr>
      <w:tr w:rsidR="000B5591" w:rsidRPr="009F5267" w14:paraId="226C283B" w14:textId="77777777" w:rsidTr="00A0112C">
        <w:trPr>
          <w:trHeight w:val="300"/>
        </w:trPr>
        <w:tc>
          <w:tcPr>
            <w:tcW w:w="1306" w:type="pct"/>
          </w:tcPr>
          <w:p w14:paraId="03D5082D" w14:textId="77777777" w:rsidR="000B5591" w:rsidRDefault="000B5591" w:rsidP="00763E4C">
            <w:pPr>
              <w:jc w:val="center"/>
              <w:rPr>
                <w:rFonts w:eastAsia="Lato" w:cs="Lato"/>
                <w:color w:val="000000" w:themeColor="text1"/>
              </w:rPr>
            </w:pPr>
            <w:r w:rsidRPr="64BE8DF0">
              <w:rPr>
                <w:rFonts w:eastAsia="Lato" w:cs="Lato"/>
                <w:color w:val="000000" w:themeColor="text1"/>
              </w:rPr>
              <w:t>Paneeldichtheid (kg/m³)</w:t>
            </w:r>
          </w:p>
          <w:p w14:paraId="1EA74F56" w14:textId="77777777" w:rsidR="000B5591" w:rsidRDefault="000B5591" w:rsidP="00763E4C">
            <w:pPr>
              <w:jc w:val="center"/>
              <w:rPr>
                <w:rFonts w:eastAsia="Lato" w:cs="Lato"/>
                <w:color w:val="000000" w:themeColor="text1"/>
              </w:rPr>
            </w:pPr>
            <w:r w:rsidRPr="64BE8DF0">
              <w:rPr>
                <w:rFonts w:eastAsia="Lato" w:cs="Lato"/>
                <w:color w:val="000000" w:themeColor="text1"/>
              </w:rPr>
              <w:t>10 punten</w:t>
            </w:r>
          </w:p>
        </w:tc>
        <w:tc>
          <w:tcPr>
            <w:tcW w:w="1346" w:type="pct"/>
          </w:tcPr>
          <w:p w14:paraId="139B576F" w14:textId="05305540" w:rsidR="000B5591" w:rsidRDefault="000B5591" w:rsidP="00763E4C">
            <w:pPr>
              <w:jc w:val="center"/>
            </w:pPr>
            <w:r w:rsidRPr="64BE8DF0">
              <w:rPr>
                <w:rFonts w:eastAsia="Lato" w:cs="Lato"/>
              </w:rPr>
              <w:t>≥ 600 kg/m</w:t>
            </w:r>
            <w:r w:rsidR="000F2F3F">
              <w:rPr>
                <w:rFonts w:eastAsia="Lato" w:cs="Lato"/>
              </w:rPr>
              <w:t>³</w:t>
            </w:r>
          </w:p>
        </w:tc>
        <w:tc>
          <w:tcPr>
            <w:tcW w:w="2348" w:type="pct"/>
          </w:tcPr>
          <w:p w14:paraId="4975F1D9" w14:textId="2DDDE693" w:rsidR="000B5591" w:rsidRDefault="000B5591" w:rsidP="00763E4C">
            <w:pPr>
              <w:rPr>
                <w:rFonts w:eastAsia="Lato" w:cs="Lato"/>
                <w:sz w:val="18"/>
                <w:szCs w:val="18"/>
              </w:rPr>
            </w:pPr>
            <w:r w:rsidRPr="66BB587E">
              <w:rPr>
                <w:rFonts w:eastAsia="Lato" w:cs="Lato"/>
              </w:rPr>
              <w:t>= 600 kg/m</w:t>
            </w:r>
            <w:r w:rsidR="000F2F3F">
              <w:rPr>
                <w:rFonts w:eastAsia="Lato" w:cs="Lato"/>
              </w:rPr>
              <w:t>³</w:t>
            </w:r>
            <w:r w:rsidRPr="66BB587E">
              <w:rPr>
                <w:rFonts w:eastAsia="Lato" w:cs="Lato"/>
              </w:rPr>
              <w:t xml:space="preserve">: </w:t>
            </w:r>
            <w:r w:rsidR="0038635A">
              <w:rPr>
                <w:rFonts w:eastAsia="Lato" w:cs="Lato"/>
              </w:rPr>
              <w:t>1</w:t>
            </w:r>
            <w:r w:rsidRPr="66BB587E">
              <w:rPr>
                <w:rFonts w:eastAsia="Lato" w:cs="Lato"/>
              </w:rPr>
              <w:t xml:space="preserve"> punten (basisofferte)</w:t>
            </w:r>
          </w:p>
          <w:p w14:paraId="4CCBF855" w14:textId="73281D57" w:rsidR="000B5591" w:rsidRDefault="000B5591" w:rsidP="00763E4C">
            <w:pPr>
              <w:rPr>
                <w:rFonts w:eastAsia="Lato" w:cs="Lato"/>
              </w:rPr>
            </w:pPr>
            <w:r w:rsidRPr="66BB587E">
              <w:rPr>
                <w:rFonts w:eastAsia="Lato" w:cs="Lato"/>
              </w:rPr>
              <w:t>&gt; 600 kg/m</w:t>
            </w:r>
            <w:r w:rsidR="000F2F3F">
              <w:rPr>
                <w:rFonts w:eastAsia="Lato" w:cs="Lato"/>
              </w:rPr>
              <w:t>³</w:t>
            </w:r>
            <w:r w:rsidRPr="66BB587E">
              <w:rPr>
                <w:rFonts w:eastAsia="Lato" w:cs="Lato"/>
              </w:rPr>
              <w:t xml:space="preserve"> e</w:t>
            </w:r>
            <w:r w:rsidR="00AA4871">
              <w:rPr>
                <w:rFonts w:eastAsia="Lato" w:cs="Lato"/>
              </w:rPr>
              <w:t>n</w:t>
            </w:r>
            <w:r w:rsidRPr="66BB587E">
              <w:rPr>
                <w:rFonts w:eastAsia="Lato" w:cs="Lato"/>
              </w:rPr>
              <w:t xml:space="preserve"> ≤ XXX kg/m</w:t>
            </w:r>
            <w:r w:rsidR="000F2F3F">
              <w:rPr>
                <w:rFonts w:eastAsia="Lato" w:cs="Lato"/>
              </w:rPr>
              <w:t>³</w:t>
            </w:r>
            <w:r w:rsidRPr="66BB587E">
              <w:rPr>
                <w:rFonts w:eastAsia="Lato" w:cs="Lato"/>
              </w:rPr>
              <w:t xml:space="preserve">: </w:t>
            </w:r>
            <w:r w:rsidR="0038635A">
              <w:rPr>
                <w:rFonts w:eastAsia="Lato" w:cs="Lato"/>
              </w:rPr>
              <w:t>4</w:t>
            </w:r>
            <w:r w:rsidRPr="66BB587E">
              <w:rPr>
                <w:rFonts w:eastAsia="Lato" w:cs="Lato"/>
              </w:rPr>
              <w:t xml:space="preserve"> punten</w:t>
            </w:r>
          </w:p>
          <w:p w14:paraId="4802C14D" w14:textId="18D53710" w:rsidR="000B5591" w:rsidRDefault="000B5591" w:rsidP="00763E4C">
            <w:pPr>
              <w:rPr>
                <w:rFonts w:eastAsia="Lato" w:cs="Lato"/>
              </w:rPr>
            </w:pPr>
            <w:r w:rsidRPr="66BB587E">
              <w:rPr>
                <w:rFonts w:eastAsia="Lato" w:cs="Lato"/>
              </w:rPr>
              <w:t>&gt; XXX kg/m</w:t>
            </w:r>
            <w:r w:rsidR="000F2F3F">
              <w:rPr>
                <w:rFonts w:eastAsia="Lato" w:cs="Lato"/>
              </w:rPr>
              <w:t>³</w:t>
            </w:r>
            <w:r w:rsidRPr="66BB587E">
              <w:rPr>
                <w:rFonts w:eastAsia="Lato" w:cs="Lato"/>
              </w:rPr>
              <w:t xml:space="preserve"> e</w:t>
            </w:r>
            <w:r w:rsidR="00AA4871">
              <w:rPr>
                <w:rFonts w:eastAsia="Lato" w:cs="Lato"/>
              </w:rPr>
              <w:t>n</w:t>
            </w:r>
            <w:r w:rsidRPr="66BB587E">
              <w:rPr>
                <w:rFonts w:eastAsia="Lato" w:cs="Lato"/>
              </w:rPr>
              <w:t xml:space="preserve"> ≤ XXX kg/m</w:t>
            </w:r>
            <w:r w:rsidR="000F2F3F">
              <w:rPr>
                <w:rFonts w:eastAsia="Lato" w:cs="Lato"/>
              </w:rPr>
              <w:t>³</w:t>
            </w:r>
            <w:r w:rsidRPr="66BB587E">
              <w:rPr>
                <w:rFonts w:eastAsia="Lato" w:cs="Lato"/>
              </w:rPr>
              <w:t xml:space="preserve">: </w:t>
            </w:r>
            <w:r w:rsidR="0038635A">
              <w:rPr>
                <w:rFonts w:eastAsia="Lato" w:cs="Lato"/>
              </w:rPr>
              <w:t>7</w:t>
            </w:r>
            <w:r w:rsidRPr="66BB587E">
              <w:rPr>
                <w:rFonts w:eastAsia="Lato" w:cs="Lato"/>
              </w:rPr>
              <w:t xml:space="preserve"> punten</w:t>
            </w:r>
          </w:p>
          <w:p w14:paraId="2CBE7A72" w14:textId="36279822" w:rsidR="000B5591" w:rsidRDefault="000B5591" w:rsidP="00763E4C">
            <w:pPr>
              <w:rPr>
                <w:rFonts w:eastAsia="Lato" w:cs="Lato"/>
              </w:rPr>
            </w:pPr>
            <w:r w:rsidRPr="64BE8DF0">
              <w:rPr>
                <w:rFonts w:eastAsia="Lato" w:cs="Lato"/>
              </w:rPr>
              <w:t>&gt; XXX kg/m</w:t>
            </w:r>
            <w:r w:rsidR="000F2F3F">
              <w:rPr>
                <w:rFonts w:eastAsia="Lato" w:cs="Lato"/>
              </w:rPr>
              <w:t>³</w:t>
            </w:r>
            <w:r w:rsidRPr="64BE8DF0">
              <w:rPr>
                <w:rFonts w:eastAsia="Lato" w:cs="Lato"/>
              </w:rPr>
              <w:t>: 10 punten</w:t>
            </w:r>
          </w:p>
        </w:tc>
      </w:tr>
    </w:tbl>
    <w:p w14:paraId="2CE8F366" w14:textId="511E87EF" w:rsidR="00AF0CA4" w:rsidRDefault="00AF0CA4" w:rsidP="00AF0CA4">
      <w:r w:rsidRPr="64BE8DF0">
        <w:t xml:space="preserve">Om ondernemingen de kans te bieden om </w:t>
      </w:r>
      <w:r>
        <w:t>(</w:t>
      </w:r>
      <w:r w:rsidRPr="64BE8DF0">
        <w:t>naast de basisofferte ook</w:t>
      </w:r>
      <w:r>
        <w:t>)</w:t>
      </w:r>
      <w:r w:rsidRPr="64BE8DF0">
        <w:t xml:space="preserve"> alternatieve oplossingen te </w:t>
      </w:r>
      <w:r>
        <w:t>kunnen</w:t>
      </w:r>
      <w:r w:rsidRPr="64BE8DF0">
        <w:t xml:space="preserve"> aanbieden, moeten </w:t>
      </w:r>
      <w:r>
        <w:t xml:space="preserve">dus </w:t>
      </w:r>
      <w:r w:rsidR="008C6D2C">
        <w:t xml:space="preserve">onder meer </w:t>
      </w:r>
      <w:r w:rsidRPr="64BE8DF0">
        <w:t>volgende mogelijkheden overwogen worden:</w:t>
      </w:r>
    </w:p>
    <w:p w14:paraId="7FCE48B2" w14:textId="0CBF5C39" w:rsidR="00AF0CA4" w:rsidRPr="00ED7465" w:rsidRDefault="00ED7465">
      <w:pPr>
        <w:pStyle w:val="Bullet1"/>
        <w:rPr>
          <w:lang w:val="nl-BE"/>
        </w:rPr>
      </w:pPr>
      <w:r w:rsidRPr="00ED7465">
        <w:rPr>
          <w:lang w:val="nl-BE"/>
        </w:rPr>
        <w:t>d</w:t>
      </w:r>
      <w:r w:rsidR="00AF0CA4" w:rsidRPr="00ED7465">
        <w:rPr>
          <w:lang w:val="nl-BE"/>
        </w:rPr>
        <w:t>e mogelijkheid om toe te laten enkel een variante in te dienen (</w:t>
      </w:r>
      <w:r w:rsidR="00AF0CA4" w:rsidRPr="00ED7465">
        <w:rPr>
          <w:i/>
          <w:iCs/>
          <w:lang w:val="nl-BE"/>
        </w:rPr>
        <w:t>die dan evenwel moet voldoen aan de minimumeisen</w:t>
      </w:r>
      <w:r w:rsidR="00AF0CA4" w:rsidRPr="00ED7465">
        <w:rPr>
          <w:lang w:val="nl-BE"/>
        </w:rPr>
        <w:t>) stelt ondernemingen in staat in te schrijven voor een opdracht waarvoor zij geen antwoord kunnen geven op de basisoplossing, maar toch een alternatieve oplossing voorhanden hebben</w:t>
      </w:r>
      <w:r>
        <w:rPr>
          <w:lang w:val="nl-BE"/>
        </w:rPr>
        <w:t>;</w:t>
      </w:r>
    </w:p>
    <w:p w14:paraId="27C7E128" w14:textId="287F3BDA" w:rsidR="00AF0CA4" w:rsidRPr="00ED7465" w:rsidRDefault="00ED7465">
      <w:pPr>
        <w:pStyle w:val="Bullet1"/>
        <w:rPr>
          <w:lang w:val="nl-BE"/>
        </w:rPr>
      </w:pPr>
      <w:r>
        <w:rPr>
          <w:lang w:val="nl-BE"/>
        </w:rPr>
        <w:t>v</w:t>
      </w:r>
      <w:r w:rsidR="00AF0CA4" w:rsidRPr="00ED7465">
        <w:rPr>
          <w:lang w:val="nl-BE"/>
        </w:rPr>
        <w:t>ereiste variante(n) (</w:t>
      </w:r>
      <w:r w:rsidR="00AF0CA4" w:rsidRPr="00ED7465">
        <w:rPr>
          <w:i/>
          <w:iCs/>
          <w:lang w:val="nl-BE"/>
        </w:rPr>
        <w:t>met opgave van de minimumeisen</w:t>
      </w:r>
      <w:r w:rsidR="00AF0CA4" w:rsidRPr="00ED7465">
        <w:rPr>
          <w:lang w:val="nl-BE"/>
        </w:rPr>
        <w:t>) opnemen in combinatie met de vereiste om ook een basisofferte in te dienen, kan concurrentiebeperkend werken in die zin dat ondernemingen mogelijk niet kunnen beantwoorden aan beide gevraagde oplossingen</w:t>
      </w:r>
      <w:r>
        <w:rPr>
          <w:lang w:val="nl-BE"/>
        </w:rPr>
        <w:t>;</w:t>
      </w:r>
    </w:p>
    <w:p w14:paraId="3A158530" w14:textId="45A8D296" w:rsidR="00AF0CA4" w:rsidRPr="00ED7465" w:rsidRDefault="00ED7465">
      <w:pPr>
        <w:pStyle w:val="Bullet1"/>
        <w:rPr>
          <w:lang w:val="nl-BE"/>
        </w:rPr>
      </w:pPr>
      <w:r>
        <w:rPr>
          <w:lang w:val="nl-BE"/>
        </w:rPr>
        <w:t>t</w:t>
      </w:r>
      <w:r w:rsidR="00AF0CA4" w:rsidRPr="00ED7465">
        <w:rPr>
          <w:lang w:val="nl-BE"/>
        </w:rPr>
        <w:t>oegestane variante(n) (</w:t>
      </w:r>
      <w:r w:rsidR="00AF0CA4" w:rsidRPr="00ED7465">
        <w:rPr>
          <w:i/>
          <w:iCs/>
          <w:lang w:val="nl-BE"/>
        </w:rPr>
        <w:t>met opgave van de minimumeisen</w:t>
      </w:r>
      <w:r w:rsidR="00AF0CA4" w:rsidRPr="00ED7465">
        <w:rPr>
          <w:lang w:val="nl-BE"/>
        </w:rPr>
        <w:t xml:space="preserve">) opnemen in combinatie met de vereiste om ook een basisofferte te moeten indienen, maakt dat de </w:t>
      </w:r>
      <w:r w:rsidR="00FA1510">
        <w:rPr>
          <w:lang w:val="nl-BE"/>
        </w:rPr>
        <w:t>aanbesteder</w:t>
      </w:r>
      <w:r w:rsidR="00AF0CA4" w:rsidRPr="00ED7465">
        <w:rPr>
          <w:lang w:val="nl-BE"/>
        </w:rPr>
        <w:t xml:space="preserve"> toch offertes mag verwachten die voldoen aan de basisspecificaties, maar biedt ondernemingen ook de kans om oplossingen aan te bieden waarvan de </w:t>
      </w:r>
      <w:r w:rsidR="00140D9E">
        <w:rPr>
          <w:lang w:val="nl-BE"/>
        </w:rPr>
        <w:t>aanbesteder (mogelijk)</w:t>
      </w:r>
      <w:r w:rsidR="00AF0CA4" w:rsidRPr="00ED7465">
        <w:rPr>
          <w:lang w:val="nl-BE"/>
        </w:rPr>
        <w:t xml:space="preserve"> geen weet heeft en toch efficiënter, goedkoper… zijn. De hoeveelheid te boordelen offertes zal weliswaar hoger liggen. </w:t>
      </w:r>
    </w:p>
    <w:p w14:paraId="66A34B1E" w14:textId="4A6A92BF" w:rsidR="00AF0CA4" w:rsidRDefault="00AF0CA4" w:rsidP="00AF0CA4">
      <w:r w:rsidRPr="7A912B87">
        <w:t xml:space="preserve">De </w:t>
      </w:r>
      <w:r w:rsidR="00DD0843">
        <w:t>aanbesteders</w:t>
      </w:r>
      <w:r w:rsidRPr="7A912B87">
        <w:t xml:space="preserve"> moeten bijgevolg de samenhang tussen de basisoplossing, de mogelijke varianten en de gunningscriteria goed overwegen. Het volledig of gedeeltelijk functioneel specificeren en outputgericht omschrijven van een opdracht biedt een zeer goed alternatief om de inschrijvende ondernemingen de kans te geven hun meest passende oplossing in de </w:t>
      </w:r>
      <w:r>
        <w:t>(</w:t>
      </w:r>
      <w:r w:rsidRPr="7A912B87">
        <w:t>basis</w:t>
      </w:r>
      <w:r>
        <w:t>)</w:t>
      </w:r>
      <w:r w:rsidRPr="7A912B87">
        <w:t xml:space="preserve">offerte voor te stellen. </w:t>
      </w:r>
    </w:p>
    <w:p w14:paraId="0CAB9111" w14:textId="72D8D2AB" w:rsidR="00AF0CA4" w:rsidRDefault="00990920" w:rsidP="00437C23">
      <w:r>
        <w:t>Aanbesteders</w:t>
      </w:r>
      <w:r w:rsidR="00AF0CA4" w:rsidRPr="7A912B87">
        <w:t xml:space="preserve"> moeten er ook rekening mee houden dat het toestaan of vereisen van meerdere varianten</w:t>
      </w:r>
      <w:r w:rsidR="00265EBC">
        <w:t xml:space="preserve"> soms</w:t>
      </w:r>
      <w:r w:rsidR="00AF0CA4" w:rsidRPr="7A912B87">
        <w:t xml:space="preserve"> onnodig de kosten en inspanningen om een offerte in te dienen</w:t>
      </w:r>
      <w:r w:rsidR="00265EBC">
        <w:t>,</w:t>
      </w:r>
      <w:r w:rsidR="00AF0CA4" w:rsidRPr="7A912B87">
        <w:t xml:space="preserve"> kan verhogen.</w:t>
      </w:r>
    </w:p>
    <w:p w14:paraId="49D829F4" w14:textId="77777777" w:rsidR="00437C23" w:rsidRPr="009069A3" w:rsidRDefault="00437C23">
      <w:pPr>
        <w:pStyle w:val="Kop2"/>
      </w:pPr>
      <w:bookmarkStart w:id="122" w:name="_Toc135839979"/>
      <w:bookmarkStart w:id="123" w:name="_Toc150870584"/>
      <w:r>
        <w:t>Richtlijnen en instructies</w:t>
      </w:r>
      <w:bookmarkEnd w:id="122"/>
      <w:bookmarkEnd w:id="123"/>
    </w:p>
    <w:p w14:paraId="3E105198" w14:textId="306CDD99" w:rsidR="00292DC8" w:rsidRPr="00292DC8" w:rsidRDefault="00292DC8">
      <w:pPr>
        <w:pStyle w:val="Lijstnummering"/>
        <w:numPr>
          <w:ilvl w:val="0"/>
          <w:numId w:val="11"/>
        </w:numPr>
        <w:pBdr>
          <w:top w:val="single" w:sz="4" w:space="1" w:color="auto"/>
          <w:left w:val="single" w:sz="4" w:space="4" w:color="auto"/>
          <w:bottom w:val="single" w:sz="4" w:space="1" w:color="auto"/>
          <w:right w:val="single" w:sz="4" w:space="4" w:color="auto"/>
        </w:pBdr>
        <w:shd w:val="clear" w:color="auto" w:fill="FBE4D5" w:themeFill="accent2" w:themeFillTint="33"/>
        <w:tabs>
          <w:tab w:val="clear" w:pos="360"/>
          <w:tab w:val="num" w:pos="284"/>
        </w:tabs>
        <w:ind w:left="284" w:hanging="284"/>
        <w:rPr>
          <w:rFonts w:eastAsia="Lato"/>
        </w:rPr>
      </w:pPr>
      <w:r w:rsidRPr="00292DC8">
        <w:rPr>
          <w:rFonts w:eastAsia="Lato"/>
        </w:rPr>
        <w:t>Overweeg geval per geval de opportuniteit om toegestane of vereiste varianten mogelijk te maken en maak de meest geschikte keuze tussen beide types varianten enerzijds, dan wel om de toepassing van vrije varianten zo weinig mogelijk te hinderen anderzijds. Formuleer daarbij zo weinig mogelijk specifieke eisen over hoe de variant</w:t>
      </w:r>
      <w:r w:rsidR="0015440C">
        <w:rPr>
          <w:rFonts w:eastAsia="Lato"/>
        </w:rPr>
        <w:t>e</w:t>
      </w:r>
      <w:r w:rsidRPr="00292DC8">
        <w:rPr>
          <w:rFonts w:eastAsia="Lato"/>
        </w:rPr>
        <w:t xml:space="preserve"> moet worden ingediend, doe dat enkel wanneer echt nodig.</w:t>
      </w:r>
    </w:p>
    <w:p w14:paraId="131710AF" w14:textId="7C8342C1" w:rsidR="00292DC8" w:rsidRDefault="00292DC8">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66BB587E">
        <w:rPr>
          <w:rFonts w:eastAsia="Lato"/>
        </w:rPr>
        <w:t xml:space="preserve">Kies, waar mogelijk, voor toegestane varianten in plaats van ze te vereisen en hou het aantal minimumeisen waaraan de variant moet voldoen beperkt. Aangezien het om varianten gaat, is </w:t>
      </w:r>
      <w:r w:rsidRPr="66BB587E">
        <w:rPr>
          <w:rFonts w:eastAsia="Lato"/>
        </w:rPr>
        <w:lastRenderedPageBreak/>
        <w:t>het immers net niet aangewezen om gedetailleerde minimumeisen op te stellen. In het geval van vrije varianten: formuleer bij voorkeur geen minimumeisen, noch specifieke eisen.</w:t>
      </w:r>
    </w:p>
    <w:p w14:paraId="76E7C297" w14:textId="1F8105B1" w:rsidR="00292DC8" w:rsidRDefault="00292DC8">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5E6C61">
        <w:rPr>
          <w:rFonts w:eastAsia="Lato"/>
          <w:b/>
          <w:bCs/>
        </w:rPr>
        <w:t>Formuleer de vraagspecificaties bij voorkeur functioneel en prestatiegericht</w:t>
      </w:r>
      <w:r w:rsidRPr="66BB587E">
        <w:rPr>
          <w:rFonts w:eastAsia="Lato"/>
        </w:rPr>
        <w:t>, zodanig dat ze de concurrentie niet belemmeren en de inschrijvers voldoende ruimte laten om hun beste oplossingen aan te bieden.</w:t>
      </w:r>
    </w:p>
    <w:p w14:paraId="342123D3" w14:textId="02DCB3CF" w:rsidR="00292DC8" w:rsidRPr="00F047A5" w:rsidRDefault="00292DC8">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00485684">
        <w:rPr>
          <w:rFonts w:eastAsia="Lato"/>
        </w:rPr>
        <w:t xml:space="preserve">Laat inschrijvers waar mogelijk toe varianten in te dienen zonder basisofferte en </w:t>
      </w:r>
      <w:r w:rsidR="00485684">
        <w:rPr>
          <w:rFonts w:eastAsia="Lato"/>
        </w:rPr>
        <w:t>opteer</w:t>
      </w:r>
      <w:r w:rsidR="00485684" w:rsidRPr="00485684">
        <w:rPr>
          <w:rFonts w:eastAsia="Lato"/>
        </w:rPr>
        <w:t xml:space="preserve"> </w:t>
      </w:r>
      <w:r w:rsidRPr="00485684">
        <w:rPr>
          <w:rFonts w:eastAsia="Lato"/>
        </w:rPr>
        <w:t>ervoor om een onregelmatige toegestane</w:t>
      </w:r>
      <w:r w:rsidR="00875599" w:rsidRPr="00485684">
        <w:rPr>
          <w:rFonts w:eastAsia="Lato"/>
        </w:rPr>
        <w:t xml:space="preserve"> of vrije</w:t>
      </w:r>
      <w:r w:rsidRPr="00485684">
        <w:rPr>
          <w:rFonts w:eastAsia="Lato"/>
        </w:rPr>
        <w:t xml:space="preserve"> variant</w:t>
      </w:r>
      <w:r w:rsidR="00A017B1" w:rsidRPr="00485684">
        <w:rPr>
          <w:rFonts w:eastAsia="Lato"/>
        </w:rPr>
        <w:t>e</w:t>
      </w:r>
      <w:r w:rsidRPr="00485684">
        <w:rPr>
          <w:rFonts w:eastAsia="Lato"/>
        </w:rPr>
        <w:t xml:space="preserve"> geen substantiële onregelmatigheid te laten veroorzaken </w:t>
      </w:r>
      <w:r w:rsidR="00477EB5" w:rsidRPr="00485684">
        <w:rPr>
          <w:rFonts w:eastAsia="Lato"/>
        </w:rPr>
        <w:t xml:space="preserve">voor </w:t>
      </w:r>
      <w:r w:rsidRPr="00485684">
        <w:rPr>
          <w:rFonts w:eastAsia="Lato"/>
        </w:rPr>
        <w:t>de basisofferte</w:t>
      </w:r>
      <w:r w:rsidRPr="66BB587E">
        <w:rPr>
          <w:rFonts w:eastAsia="Lato"/>
        </w:rPr>
        <w:t>.</w:t>
      </w:r>
    </w:p>
    <w:p w14:paraId="766830FD" w14:textId="6C96856A" w:rsidR="00292DC8" w:rsidRDefault="00292DC8">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rPr>
          <w:rFonts w:eastAsia="Lato"/>
        </w:rPr>
      </w:pPr>
      <w:r w:rsidRPr="66BB587E">
        <w:rPr>
          <w:rFonts w:eastAsia="Lato"/>
        </w:rPr>
        <w:t>Garandeer dat de gekozen gunningscriteria kunnen worden toegepast op de vereiste en toegestane varianten die aan de minimumvoorschriften voldoen, en op de basisoffertes.</w:t>
      </w:r>
      <w:r w:rsidRPr="66BB587E">
        <w:t xml:space="preserve"> </w:t>
      </w:r>
      <w:r w:rsidRPr="66BB587E">
        <w:rPr>
          <w:rFonts w:eastAsia="Lato"/>
        </w:rPr>
        <w:t>Hou bij het formuleren van de gunningscriteria rekening met (potentiële) varianten: verken daarvoor de markt voldoende.</w:t>
      </w:r>
    </w:p>
    <w:p w14:paraId="162C43DD" w14:textId="07CEBAFE" w:rsidR="00292DC8" w:rsidRDefault="00292DC8">
      <w:pPr>
        <w:pStyle w:val="Lijstnummering"/>
        <w:pBdr>
          <w:top w:val="single" w:sz="4" w:space="1" w:color="auto"/>
          <w:left w:val="single" w:sz="4" w:space="4" w:color="auto"/>
          <w:bottom w:val="single" w:sz="4" w:space="1" w:color="auto"/>
          <w:right w:val="single" w:sz="4" w:space="4" w:color="auto"/>
        </w:pBdr>
        <w:shd w:val="clear" w:color="auto" w:fill="FBE4D5" w:themeFill="accent2" w:themeFillTint="33"/>
      </w:pPr>
      <w:r w:rsidRPr="66BB587E">
        <w:rPr>
          <w:rFonts w:eastAsia="Lato"/>
        </w:rPr>
        <w:t>Overweeg tot slot goed de samenhang tussen de basisoplossing, de mogelijke varianten en de gunningscriteria.</w:t>
      </w:r>
      <w:r w:rsidRPr="66BB587E">
        <w:rPr>
          <w:rFonts w:eastAsia="Lato"/>
          <w:b/>
          <w:bCs/>
        </w:rPr>
        <w:t xml:space="preserve"> </w:t>
      </w:r>
    </w:p>
    <w:p w14:paraId="0413C142" w14:textId="78E815D9" w:rsidR="005D4EB7" w:rsidRDefault="005D4EB7">
      <w:pPr>
        <w:pStyle w:val="Kop1"/>
      </w:pPr>
      <w:bookmarkStart w:id="124" w:name="_Toc132703176"/>
      <w:bookmarkStart w:id="125" w:name="_Toc135839980"/>
      <w:bookmarkStart w:id="126" w:name="_Toc150870585"/>
      <w:r>
        <w:t xml:space="preserve">Principe 8 – </w:t>
      </w:r>
      <w:bookmarkEnd w:id="124"/>
      <w:r w:rsidR="009E78EA" w:rsidRPr="009E78EA">
        <w:t>Proportionaliteit bij selectiecriteria, financiële garanties en betalingsmodaliteiten</w:t>
      </w:r>
      <w:bookmarkEnd w:id="125"/>
      <w:bookmarkEnd w:id="126"/>
    </w:p>
    <w:p w14:paraId="40D85C8F" w14:textId="77777777" w:rsidR="00437C23" w:rsidRDefault="00437C23">
      <w:pPr>
        <w:pStyle w:val="Kop2"/>
      </w:pPr>
      <w:bookmarkStart w:id="127" w:name="_Toc135839981"/>
      <w:bookmarkStart w:id="128" w:name="_Toc150870586"/>
      <w:r>
        <w:t>Doelstelling</w:t>
      </w:r>
      <w:bookmarkEnd w:id="127"/>
      <w:bookmarkEnd w:id="128"/>
    </w:p>
    <w:p w14:paraId="450CB2E3" w14:textId="77777777" w:rsidR="005F634A" w:rsidRPr="003D534F" w:rsidRDefault="005F634A" w:rsidP="005F634A">
      <w:r w:rsidRPr="003D534F">
        <w:rPr>
          <w:rStyle w:val="normaltextrun"/>
          <w:lang w:val="nl-NL"/>
        </w:rPr>
        <w:t xml:space="preserve">Toegangseisen- en contractvoorwaarden stellen die </w:t>
      </w:r>
      <w:r>
        <w:rPr>
          <w:rStyle w:val="normaltextrun"/>
          <w:lang w:val="nl-NL"/>
        </w:rPr>
        <w:t xml:space="preserve">enerzijds </w:t>
      </w:r>
      <w:r w:rsidRPr="003D534F">
        <w:rPr>
          <w:rStyle w:val="normaltextrun"/>
          <w:lang w:val="nl-NL"/>
        </w:rPr>
        <w:t>proportioneel en aangepast zijn aan de aard en de omvang van de opdracht</w:t>
      </w:r>
      <w:r>
        <w:rPr>
          <w:rStyle w:val="normaltextrun"/>
          <w:lang w:val="nl-NL"/>
        </w:rPr>
        <w:t>, en anderzijds rekening houden met het Belgische kmo-landschap,</w:t>
      </w:r>
      <w:r w:rsidRPr="003D534F">
        <w:rPr>
          <w:rStyle w:val="normaltextrun"/>
          <w:lang w:val="nl-NL"/>
        </w:rPr>
        <w:t xml:space="preserve"> door:</w:t>
      </w:r>
    </w:p>
    <w:p w14:paraId="133776A0" w14:textId="5742DA88" w:rsidR="005F634A" w:rsidRPr="001C306D" w:rsidRDefault="005F634A" w:rsidP="005F634A">
      <w:pPr>
        <w:pStyle w:val="Bullet1"/>
        <w:rPr>
          <w:lang w:val="nl-BE"/>
        </w:rPr>
      </w:pPr>
      <w:r>
        <w:rPr>
          <w:rStyle w:val="normaltextrun"/>
          <w:lang w:val="nl-NL"/>
        </w:rPr>
        <w:t>b</w:t>
      </w:r>
      <w:r w:rsidRPr="003D534F">
        <w:rPr>
          <w:rStyle w:val="normaltextrun"/>
          <w:lang w:val="nl-NL"/>
        </w:rPr>
        <w:t xml:space="preserve">ij de vereisten </w:t>
      </w:r>
      <w:r w:rsidRPr="003D534F">
        <w:rPr>
          <w:rStyle w:val="normaltextrun"/>
          <w:b/>
          <w:bCs/>
          <w:lang w:val="nl-NL"/>
        </w:rPr>
        <w:t xml:space="preserve">om voor </w:t>
      </w:r>
      <w:r>
        <w:rPr>
          <w:rStyle w:val="normaltextrun"/>
          <w:b/>
          <w:bCs/>
          <w:lang w:val="nl-NL"/>
        </w:rPr>
        <w:t xml:space="preserve">de </w:t>
      </w:r>
      <w:r w:rsidRPr="003D534F">
        <w:rPr>
          <w:rStyle w:val="normaltextrun"/>
          <w:b/>
          <w:bCs/>
          <w:lang w:val="nl-NL"/>
        </w:rPr>
        <w:t>gunning in aanmerking te komen</w:t>
      </w:r>
      <w:r w:rsidRPr="003D534F">
        <w:rPr>
          <w:rStyle w:val="normaltextrun"/>
          <w:lang w:val="nl-NL"/>
        </w:rPr>
        <w:t xml:space="preserve"> pertinente selectie</w:t>
      </w:r>
      <w:r>
        <w:rPr>
          <w:rStyle w:val="normaltextrun"/>
          <w:lang w:val="nl-NL"/>
        </w:rPr>
        <w:t>criteria</w:t>
      </w:r>
      <w:r w:rsidRPr="003D534F">
        <w:rPr>
          <w:rStyle w:val="normaltextrun"/>
          <w:lang w:val="nl-NL"/>
        </w:rPr>
        <w:t xml:space="preserve"> van een gepast niveau te kiezen, én bij</w:t>
      </w:r>
      <w:r>
        <w:rPr>
          <w:rStyle w:val="normaltextrun"/>
          <w:lang w:val="nl-NL"/>
        </w:rPr>
        <w:t xml:space="preserve"> de</w:t>
      </w:r>
      <w:r w:rsidRPr="003D534F">
        <w:rPr>
          <w:rStyle w:val="normaltextrun"/>
          <w:lang w:val="nl-NL"/>
        </w:rPr>
        <w:t xml:space="preserve"> keuze van de bewijsmiddelen maximaal rekening te houden met de kosten om d</w:t>
      </w:r>
      <w:r w:rsidR="008C415D">
        <w:rPr>
          <w:rStyle w:val="normaltextrun"/>
          <w:lang w:val="nl-NL"/>
        </w:rPr>
        <w:t>i</w:t>
      </w:r>
      <w:r w:rsidRPr="003D534F">
        <w:rPr>
          <w:rStyle w:val="normaltextrun"/>
          <w:lang w:val="nl-NL"/>
        </w:rPr>
        <w:t>e bewijsmiddelen te bekomen</w:t>
      </w:r>
      <w:r>
        <w:rPr>
          <w:rStyle w:val="normaltextrun"/>
          <w:lang w:val="nl-NL"/>
        </w:rPr>
        <w:t>;</w:t>
      </w:r>
    </w:p>
    <w:p w14:paraId="51CE8887" w14:textId="77777777" w:rsidR="005F634A" w:rsidRPr="001C306D" w:rsidRDefault="005F634A" w:rsidP="005F634A">
      <w:pPr>
        <w:pStyle w:val="Bullet1"/>
        <w:rPr>
          <w:lang w:val="nl-BE"/>
        </w:rPr>
      </w:pPr>
      <w:r>
        <w:rPr>
          <w:rStyle w:val="normaltextrun"/>
          <w:lang w:val="nl-NL"/>
        </w:rPr>
        <w:t>b</w:t>
      </w:r>
      <w:r w:rsidRPr="003D534F">
        <w:rPr>
          <w:rStyle w:val="normaltextrun"/>
          <w:lang w:val="nl-NL"/>
        </w:rPr>
        <w:t xml:space="preserve">ij de </w:t>
      </w:r>
      <w:r w:rsidRPr="003D534F">
        <w:rPr>
          <w:rStyle w:val="normaltextrun"/>
          <w:b/>
          <w:bCs/>
          <w:lang w:val="nl-NL"/>
        </w:rPr>
        <w:t>uitvoering</w:t>
      </w:r>
      <w:r w:rsidRPr="003D534F">
        <w:rPr>
          <w:rStyle w:val="normaltextrun"/>
          <w:lang w:val="nl-NL"/>
        </w:rPr>
        <w:t xml:space="preserve"> van de opdracht:</w:t>
      </w:r>
      <w:r w:rsidRPr="001C306D">
        <w:rPr>
          <w:rStyle w:val="eop"/>
          <w:lang w:val="nl-BE"/>
        </w:rPr>
        <w:t> </w:t>
      </w:r>
    </w:p>
    <w:p w14:paraId="7B5889EB" w14:textId="50623F3D" w:rsidR="005F634A" w:rsidRPr="003D534F" w:rsidRDefault="00B83E7B" w:rsidP="005F634A">
      <w:pPr>
        <w:pStyle w:val="Bullet3"/>
        <w:rPr>
          <w:rStyle w:val="normaltextrun"/>
          <w:lang w:val="nl-NL"/>
        </w:rPr>
      </w:pPr>
      <w:r>
        <w:rPr>
          <w:rStyle w:val="eop"/>
          <w:lang w:val="nl-BE"/>
        </w:rPr>
        <w:t>wanneer de wetgeving het vereist</w:t>
      </w:r>
      <w:r w:rsidR="005F634A" w:rsidRPr="001C306D">
        <w:rPr>
          <w:rStyle w:val="eop"/>
          <w:lang w:val="nl-BE"/>
        </w:rPr>
        <w:t xml:space="preserve"> een gepaste biedvergoeding</w:t>
      </w:r>
      <w:r w:rsidR="005F634A" w:rsidRPr="003D534F">
        <w:rPr>
          <w:rStyle w:val="normaltextrun"/>
          <w:lang w:val="nl-NL"/>
        </w:rPr>
        <w:t xml:space="preserve"> </w:t>
      </w:r>
      <w:r w:rsidR="005F634A">
        <w:rPr>
          <w:rStyle w:val="normaltextrun"/>
          <w:lang w:val="nl-NL"/>
        </w:rPr>
        <w:t>te voorzien</w:t>
      </w:r>
      <w:r w:rsidR="00F91E20">
        <w:rPr>
          <w:rStyle w:val="normaltextrun"/>
          <w:lang w:val="nl-NL"/>
        </w:rPr>
        <w:t>,</w:t>
      </w:r>
      <w:r w:rsidR="00BD32B9">
        <w:rPr>
          <w:rStyle w:val="normaltextrun"/>
          <w:lang w:val="nl-NL"/>
        </w:rPr>
        <w:t xml:space="preserve"> en wanneer de wetgeving het toelaat dat waar </w:t>
      </w:r>
      <w:r w:rsidR="00C2187B">
        <w:rPr>
          <w:rStyle w:val="normaltextrun"/>
          <w:lang w:val="nl-NL"/>
        </w:rPr>
        <w:t>opportuun</w:t>
      </w:r>
      <w:r w:rsidR="00BD32B9">
        <w:rPr>
          <w:rStyle w:val="normaltextrun"/>
          <w:lang w:val="nl-NL"/>
        </w:rPr>
        <w:t xml:space="preserve"> </w:t>
      </w:r>
      <w:r w:rsidR="006B14CD">
        <w:rPr>
          <w:rStyle w:val="normaltextrun"/>
          <w:lang w:val="nl-NL"/>
        </w:rPr>
        <w:t xml:space="preserve">die </w:t>
      </w:r>
      <w:r w:rsidR="00BD32B9">
        <w:rPr>
          <w:rStyle w:val="normaltextrun"/>
          <w:lang w:val="nl-NL"/>
        </w:rPr>
        <w:t>eveneens te voorzien</w:t>
      </w:r>
      <w:r w:rsidR="005F634A">
        <w:rPr>
          <w:rStyle w:val="normaltextrun"/>
          <w:lang w:val="nl-NL"/>
        </w:rPr>
        <w:t>;</w:t>
      </w:r>
    </w:p>
    <w:p w14:paraId="0EAFE546" w14:textId="77777777" w:rsidR="005F634A" w:rsidRPr="001C306D" w:rsidRDefault="005F634A" w:rsidP="005F634A">
      <w:pPr>
        <w:pStyle w:val="Bullet3"/>
        <w:rPr>
          <w:lang w:val="nl-BE"/>
        </w:rPr>
      </w:pPr>
      <w:r>
        <w:rPr>
          <w:rStyle w:val="normaltextrun"/>
          <w:lang w:val="nl-NL"/>
        </w:rPr>
        <w:t xml:space="preserve">enkel een borgtocht te vragen wanneer de aard van de opdracht dat expliciet verantwoordt en </w:t>
      </w:r>
      <w:r w:rsidRPr="003D534F">
        <w:rPr>
          <w:rStyle w:val="normaltextrun"/>
          <w:lang w:val="nl-NL"/>
        </w:rPr>
        <w:t xml:space="preserve">de berekeningswijze van de borgtocht </w:t>
      </w:r>
      <w:r>
        <w:rPr>
          <w:rStyle w:val="normaltextrun"/>
          <w:lang w:val="nl-NL"/>
        </w:rPr>
        <w:t>correct toe te passen</w:t>
      </w:r>
      <w:r w:rsidRPr="001C306D">
        <w:rPr>
          <w:rStyle w:val="eop"/>
          <w:lang w:val="nl-BE"/>
        </w:rPr>
        <w:t>;</w:t>
      </w:r>
    </w:p>
    <w:p w14:paraId="0CFB6D4C" w14:textId="77777777" w:rsidR="005F634A" w:rsidRPr="001C306D" w:rsidRDefault="005F634A" w:rsidP="005F634A">
      <w:pPr>
        <w:pStyle w:val="Bullet3"/>
        <w:rPr>
          <w:rStyle w:val="eop"/>
          <w:lang w:val="nl-BE"/>
        </w:rPr>
      </w:pPr>
      <w:r w:rsidRPr="001C306D">
        <w:rPr>
          <w:rStyle w:val="normaltextrun"/>
          <w:lang w:val="nl-BE"/>
        </w:rPr>
        <w:t xml:space="preserve">de nodige </w:t>
      </w:r>
      <w:r>
        <w:rPr>
          <w:rStyle w:val="normaltextrun"/>
          <w:lang w:val="nl-NL"/>
        </w:rPr>
        <w:t>v</w:t>
      </w:r>
      <w:r w:rsidRPr="003D534F">
        <w:rPr>
          <w:rStyle w:val="normaltextrun"/>
          <w:lang w:val="nl-NL"/>
        </w:rPr>
        <w:t>oorschot</w:t>
      </w:r>
      <w:r w:rsidRPr="001C306D">
        <w:rPr>
          <w:rStyle w:val="eop"/>
          <w:lang w:val="nl-BE"/>
        </w:rPr>
        <w:t>ten toe te kennen;</w:t>
      </w:r>
    </w:p>
    <w:p w14:paraId="249CBF4C" w14:textId="77777777" w:rsidR="005F634A" w:rsidRPr="001C306D" w:rsidRDefault="005F634A" w:rsidP="005F634A">
      <w:pPr>
        <w:pStyle w:val="Bullet3"/>
        <w:rPr>
          <w:rStyle w:val="eop"/>
          <w:lang w:val="nl-BE"/>
        </w:rPr>
      </w:pPr>
      <w:r w:rsidRPr="001C306D">
        <w:rPr>
          <w:rStyle w:val="eop"/>
          <w:lang w:val="nl-BE"/>
        </w:rPr>
        <w:t>te werken met goed uitgewerkte vorderingsstaten</w:t>
      </w:r>
      <w:r w:rsidRPr="003D534F">
        <w:rPr>
          <w:rStyle w:val="normaltextrun"/>
          <w:lang w:val="nl-NL"/>
        </w:rPr>
        <w:t xml:space="preserve"> </w:t>
      </w:r>
      <w:r>
        <w:rPr>
          <w:rStyle w:val="normaltextrun"/>
          <w:lang w:val="nl-NL"/>
        </w:rPr>
        <w:t>en</w:t>
      </w:r>
      <w:r w:rsidRPr="003D534F">
        <w:rPr>
          <w:rStyle w:val="normaltextrun"/>
          <w:lang w:val="nl-NL"/>
        </w:rPr>
        <w:t xml:space="preserve"> aangepaste betalingsplannen te voorzien voor langdurige opdrachten</w:t>
      </w:r>
      <w:r>
        <w:rPr>
          <w:rStyle w:val="normaltextrun"/>
          <w:lang w:val="nl-NL"/>
        </w:rPr>
        <w:t>;</w:t>
      </w:r>
      <w:r w:rsidRPr="003D534F">
        <w:rPr>
          <w:rStyle w:val="normaltextrun"/>
          <w:lang w:val="nl-NL"/>
        </w:rPr>
        <w:t> </w:t>
      </w:r>
      <w:r w:rsidRPr="001C306D">
        <w:rPr>
          <w:rStyle w:val="eop"/>
          <w:lang w:val="nl-BE"/>
        </w:rPr>
        <w:t> </w:t>
      </w:r>
    </w:p>
    <w:p w14:paraId="2D2BE3BD" w14:textId="3CD4FB96" w:rsidR="005A7235" w:rsidRPr="001C306D" w:rsidRDefault="005F634A" w:rsidP="00437C23">
      <w:pPr>
        <w:pStyle w:val="Bullet3"/>
        <w:rPr>
          <w:lang w:val="nl-BE"/>
        </w:rPr>
      </w:pPr>
      <w:r w:rsidRPr="001C306D">
        <w:rPr>
          <w:rStyle w:val="eop"/>
          <w:lang w:val="nl-BE"/>
        </w:rPr>
        <w:t>de prijsherzieningsclausules die op basis van de marktverkenning voorzien werden, correct toe</w:t>
      </w:r>
      <w:r w:rsidR="00836988">
        <w:rPr>
          <w:rStyle w:val="eop"/>
          <w:lang w:val="nl-BE"/>
        </w:rPr>
        <w:t xml:space="preserve"> te </w:t>
      </w:r>
      <w:r w:rsidRPr="001C306D">
        <w:rPr>
          <w:rStyle w:val="eop"/>
          <w:lang w:val="nl-BE"/>
        </w:rPr>
        <w:t>passen en op basis van de geselecteerde, relevante indexen de nodige herzieningen door</w:t>
      </w:r>
      <w:r w:rsidR="00FA2440">
        <w:rPr>
          <w:rStyle w:val="eop"/>
          <w:lang w:val="nl-BE"/>
        </w:rPr>
        <w:t xml:space="preserve"> te </w:t>
      </w:r>
      <w:r w:rsidRPr="001C306D">
        <w:rPr>
          <w:rStyle w:val="eop"/>
          <w:lang w:val="nl-BE"/>
        </w:rPr>
        <w:t xml:space="preserve">voeren aan de prijzen. </w:t>
      </w:r>
    </w:p>
    <w:p w14:paraId="53FE4032" w14:textId="77777777" w:rsidR="00437C23" w:rsidRDefault="00437C23">
      <w:pPr>
        <w:pStyle w:val="Kop2"/>
      </w:pPr>
      <w:bookmarkStart w:id="129" w:name="_Toc135839982"/>
      <w:bookmarkStart w:id="130" w:name="_Toc150870587"/>
      <w:r>
        <w:t>Wat zegt de reglementering overheidsopdrachten?</w:t>
      </w:r>
      <w:bookmarkEnd w:id="129"/>
      <w:bookmarkEnd w:id="130"/>
    </w:p>
    <w:p w14:paraId="5FE18435" w14:textId="77777777" w:rsidR="0083164B" w:rsidRPr="003D534F" w:rsidRDefault="0083164B" w:rsidP="0083164B">
      <w:pPr>
        <w:rPr>
          <w:rStyle w:val="normaltextrun"/>
          <w:color w:val="000000"/>
          <w:lang w:val="nl-NL"/>
        </w:rPr>
      </w:pPr>
      <w:r w:rsidRPr="003D534F">
        <w:rPr>
          <w:rStyle w:val="normaltextrun"/>
          <w:color w:val="000000"/>
          <w:lang w:val="nl-NL"/>
        </w:rPr>
        <w:t xml:space="preserve">De </w:t>
      </w:r>
      <w:r w:rsidRPr="003D534F">
        <w:rPr>
          <w:rStyle w:val="normaltextrun"/>
          <w:lang w:val="nl-NL"/>
        </w:rPr>
        <w:t xml:space="preserve">toegangseisen- en contractvoorwaarden </w:t>
      </w:r>
      <w:r w:rsidRPr="003D534F">
        <w:rPr>
          <w:rStyle w:val="normaltextrun"/>
          <w:color w:val="000000"/>
          <w:lang w:val="nl-NL"/>
        </w:rPr>
        <w:t xml:space="preserve">die de </w:t>
      </w:r>
      <w:r>
        <w:rPr>
          <w:rStyle w:val="normaltextrun"/>
          <w:color w:val="000000"/>
          <w:lang w:val="nl-NL"/>
        </w:rPr>
        <w:t>aanbesteders</w:t>
      </w:r>
      <w:r w:rsidRPr="003D534F">
        <w:rPr>
          <w:rStyle w:val="normaltextrun"/>
          <w:color w:val="000000"/>
          <w:lang w:val="nl-NL"/>
        </w:rPr>
        <w:t xml:space="preserve"> kunnen opleggen aan en vereisen van de ondernemingen hebben</w:t>
      </w:r>
      <w:r>
        <w:rPr>
          <w:rStyle w:val="normaltextrun"/>
          <w:color w:val="000000"/>
          <w:lang w:val="nl-NL"/>
        </w:rPr>
        <w:t xml:space="preserve"> onder meer betrekking op</w:t>
      </w:r>
      <w:r w:rsidRPr="003D534F">
        <w:rPr>
          <w:rStyle w:val="normaltextrun"/>
          <w:color w:val="000000"/>
          <w:lang w:val="nl-NL"/>
        </w:rPr>
        <w:t>: </w:t>
      </w:r>
      <w:r w:rsidRPr="003D534F">
        <w:rPr>
          <w:rStyle w:val="normaltextrun"/>
          <w:lang w:val="nl-NL"/>
        </w:rPr>
        <w:t> </w:t>
      </w:r>
    </w:p>
    <w:p w14:paraId="6999CEAD" w14:textId="6610C798" w:rsidR="0083164B" w:rsidRPr="003D534F" w:rsidRDefault="0083164B" w:rsidP="0083164B">
      <w:pPr>
        <w:pStyle w:val="Bullet1"/>
        <w:rPr>
          <w:rStyle w:val="normaltextrun"/>
          <w:color w:val="000000"/>
          <w:lang w:val="nl-NL"/>
        </w:rPr>
      </w:pPr>
      <w:r w:rsidRPr="003D534F">
        <w:rPr>
          <w:rStyle w:val="normaltextrun"/>
          <w:color w:val="000000"/>
          <w:lang w:val="nl-NL"/>
        </w:rPr>
        <w:t xml:space="preserve">enerzijds de vereisten om voor </w:t>
      </w:r>
      <w:r>
        <w:rPr>
          <w:rStyle w:val="normaltextrun"/>
          <w:color w:val="000000"/>
          <w:lang w:val="nl-NL"/>
        </w:rPr>
        <w:t xml:space="preserve">de </w:t>
      </w:r>
      <w:r w:rsidRPr="003D534F">
        <w:rPr>
          <w:rStyle w:val="normaltextrun"/>
          <w:color w:val="000000"/>
          <w:lang w:val="nl-NL"/>
        </w:rPr>
        <w:t>gunning in aanmerking te komen</w:t>
      </w:r>
      <w:r>
        <w:rPr>
          <w:rStyle w:val="normaltextrun"/>
          <w:color w:val="000000"/>
          <w:lang w:val="nl-NL"/>
        </w:rPr>
        <w:t xml:space="preserve">. </w:t>
      </w:r>
      <w:r w:rsidR="00A61BF9" w:rsidRPr="00215A49">
        <w:rPr>
          <w:rStyle w:val="normaltextrun"/>
          <w:color w:val="000000"/>
          <w:lang w:val="nl-NL"/>
        </w:rPr>
        <w:t xml:space="preserve">Aanvullend </w:t>
      </w:r>
      <w:r w:rsidRPr="00215A49">
        <w:rPr>
          <w:rStyle w:val="normaltextrun"/>
          <w:color w:val="000000"/>
          <w:lang w:val="nl-NL"/>
        </w:rPr>
        <w:t>op de “proportionele minimumeisen in het technische bestek”, die worden beschreven onder principe 4, wordt</w:t>
      </w:r>
      <w:r>
        <w:rPr>
          <w:rStyle w:val="normaltextrun"/>
          <w:color w:val="000000"/>
          <w:lang w:val="nl-NL"/>
        </w:rPr>
        <w:t xml:space="preserve"> voor dit principe de focus gelegd </w:t>
      </w:r>
      <w:r w:rsidRPr="003D534F">
        <w:rPr>
          <w:rStyle w:val="normaltextrun"/>
          <w:color w:val="000000"/>
          <w:lang w:val="nl-NL"/>
        </w:rPr>
        <w:t xml:space="preserve">op het </w:t>
      </w:r>
      <w:r>
        <w:rPr>
          <w:rStyle w:val="normaltextrun"/>
          <w:color w:val="000000"/>
          <w:lang w:val="nl-NL"/>
        </w:rPr>
        <w:t>“</w:t>
      </w:r>
      <w:r w:rsidRPr="003D534F">
        <w:rPr>
          <w:rStyle w:val="normaltextrun"/>
          <w:color w:val="000000"/>
          <w:lang w:val="nl-NL"/>
        </w:rPr>
        <w:t>financiële</w:t>
      </w:r>
      <w:r>
        <w:rPr>
          <w:rStyle w:val="normaltextrun"/>
          <w:color w:val="000000"/>
          <w:lang w:val="nl-NL"/>
        </w:rPr>
        <w:t>”</w:t>
      </w:r>
      <w:r w:rsidRPr="003D534F">
        <w:rPr>
          <w:rStyle w:val="normaltextrun"/>
          <w:color w:val="000000"/>
          <w:lang w:val="nl-NL"/>
        </w:rPr>
        <w:t xml:space="preserve"> </w:t>
      </w:r>
      <w:r>
        <w:rPr>
          <w:rStyle w:val="normaltextrun"/>
          <w:color w:val="000000"/>
          <w:lang w:val="nl-NL"/>
        </w:rPr>
        <w:t>aspect van de selectiecriteria;</w:t>
      </w:r>
    </w:p>
    <w:p w14:paraId="4C9AB27E" w14:textId="77777777" w:rsidR="0083164B" w:rsidRPr="0083164B" w:rsidRDefault="0083164B" w:rsidP="0083164B">
      <w:pPr>
        <w:pStyle w:val="Bullet1"/>
        <w:rPr>
          <w:rStyle w:val="normaltextrun"/>
          <w:color w:val="000000"/>
          <w:lang w:val="nl-NL"/>
        </w:rPr>
      </w:pPr>
      <w:r w:rsidRPr="003D534F">
        <w:rPr>
          <w:rStyle w:val="normaltextrun"/>
          <w:color w:val="000000"/>
          <w:lang w:val="nl-NL"/>
        </w:rPr>
        <w:t xml:space="preserve">en anderzijds de </w:t>
      </w:r>
      <w:r>
        <w:rPr>
          <w:rStyle w:val="normaltextrun"/>
          <w:color w:val="000000"/>
          <w:lang w:val="nl-NL"/>
        </w:rPr>
        <w:t xml:space="preserve">(financiële) </w:t>
      </w:r>
      <w:r w:rsidRPr="003D534F">
        <w:rPr>
          <w:rStyle w:val="normaltextrun"/>
          <w:color w:val="000000"/>
          <w:lang w:val="nl-NL"/>
        </w:rPr>
        <w:t xml:space="preserve">garanties en voorwaarden bij </w:t>
      </w:r>
      <w:r>
        <w:rPr>
          <w:rStyle w:val="normaltextrun"/>
          <w:color w:val="000000"/>
          <w:lang w:val="nl-NL"/>
        </w:rPr>
        <w:t xml:space="preserve">de </w:t>
      </w:r>
      <w:r w:rsidRPr="003D534F">
        <w:rPr>
          <w:rStyle w:val="normaltextrun"/>
          <w:color w:val="000000"/>
          <w:lang w:val="nl-NL"/>
        </w:rPr>
        <w:t>uitvoering. </w:t>
      </w:r>
      <w:r w:rsidRPr="003D534F">
        <w:rPr>
          <w:rStyle w:val="normaltextrun"/>
          <w:lang w:val="nl-NL"/>
        </w:rPr>
        <w:t> </w:t>
      </w:r>
    </w:p>
    <w:p w14:paraId="0C95351F" w14:textId="45348946" w:rsidR="005A7235" w:rsidRDefault="00884E7E" w:rsidP="00884E7E">
      <w:pPr>
        <w:pStyle w:val="Kop3"/>
        <w:jc w:val="both"/>
        <w:rPr>
          <w:lang w:val="nl-NL"/>
        </w:rPr>
      </w:pPr>
      <w:bookmarkStart w:id="131" w:name="_Toc135839983"/>
      <w:bookmarkStart w:id="132" w:name="_Toc150870588"/>
      <w:r w:rsidRPr="00884E7E">
        <w:rPr>
          <w:lang w:val="nl-NL"/>
        </w:rPr>
        <w:t>Vereisten om voor de gunning in aanmerking te komen: de selectiecriteria</w:t>
      </w:r>
      <w:bookmarkEnd w:id="131"/>
      <w:bookmarkEnd w:id="132"/>
    </w:p>
    <w:p w14:paraId="0A2CBDC5" w14:textId="31FBEDE6" w:rsidR="005D3CE1" w:rsidRDefault="00F136C4" w:rsidP="005D3CE1">
      <w:pPr>
        <w:rPr>
          <w:rStyle w:val="normaltextrun"/>
          <w:lang w:val="nl-NL"/>
        </w:rPr>
      </w:pPr>
      <w:r>
        <w:rPr>
          <w:rStyle w:val="normaltextrun"/>
          <w:lang w:val="nl-NL"/>
        </w:rPr>
        <w:t xml:space="preserve">Artikel 71 van de wet van </w:t>
      </w:r>
      <w:hyperlink r:id="rId80" w:history="1">
        <w:r w:rsidRPr="00B66F27">
          <w:rPr>
            <w:rStyle w:val="Hyperlink"/>
            <w:lang w:val="nl-NL"/>
          </w:rPr>
          <w:t>17 juni 2016</w:t>
        </w:r>
      </w:hyperlink>
      <w:r w:rsidR="00492E41">
        <w:rPr>
          <w:rStyle w:val="normaltextrun"/>
          <w:lang w:val="nl-NL"/>
        </w:rPr>
        <w:t xml:space="preserve">, aangevuld door artikels 65 en verder van het </w:t>
      </w:r>
      <w:r w:rsidR="000C3DFC">
        <w:rPr>
          <w:rStyle w:val="normaltextrun"/>
          <w:lang w:val="nl-NL"/>
        </w:rPr>
        <w:t>KB</w:t>
      </w:r>
      <w:r w:rsidR="00492E41">
        <w:rPr>
          <w:rStyle w:val="normaltextrun"/>
          <w:lang w:val="nl-NL"/>
        </w:rPr>
        <w:t xml:space="preserve"> van </w:t>
      </w:r>
      <w:hyperlink r:id="rId81" w:history="1">
        <w:r w:rsidR="00492E41" w:rsidRPr="00584F78">
          <w:rPr>
            <w:rStyle w:val="Hyperlink"/>
            <w:lang w:val="nl-NL"/>
          </w:rPr>
          <w:t>18 april 2017</w:t>
        </w:r>
      </w:hyperlink>
      <w:r w:rsidR="00492E41">
        <w:rPr>
          <w:rStyle w:val="normaltextrun"/>
          <w:lang w:val="nl-NL"/>
        </w:rPr>
        <w:t>,</w:t>
      </w:r>
      <w:r>
        <w:rPr>
          <w:rStyle w:val="normaltextrun"/>
          <w:lang w:val="nl-NL"/>
        </w:rPr>
        <w:t xml:space="preserve"> stelt dat h</w:t>
      </w:r>
      <w:r w:rsidR="005D3CE1" w:rsidRPr="003D534F">
        <w:rPr>
          <w:rStyle w:val="normaltextrun"/>
          <w:lang w:val="nl-NL"/>
        </w:rPr>
        <w:t xml:space="preserve">et selectiecriterium of de selectiecriteria kunnen betrekking hebben op: </w:t>
      </w:r>
    </w:p>
    <w:p w14:paraId="7178D47A" w14:textId="18AFC4F7" w:rsidR="005D3CE1" w:rsidRPr="0039676A" w:rsidRDefault="005D3CE1" w:rsidP="0039676A">
      <w:pPr>
        <w:pStyle w:val="Lijstnummering"/>
        <w:numPr>
          <w:ilvl w:val="0"/>
          <w:numId w:val="26"/>
        </w:numPr>
        <w:rPr>
          <w:rStyle w:val="normaltextrun"/>
        </w:rPr>
      </w:pPr>
      <w:r w:rsidRPr="0039676A">
        <w:rPr>
          <w:rStyle w:val="normaltextrun"/>
        </w:rPr>
        <w:t xml:space="preserve">de geschiktheid om de beroepsactiviteit uit te oefenen; en/of </w:t>
      </w:r>
    </w:p>
    <w:p w14:paraId="437C4913" w14:textId="796B9114" w:rsidR="005D3CE1" w:rsidRPr="0039676A" w:rsidRDefault="005D3CE1" w:rsidP="0039676A">
      <w:pPr>
        <w:pStyle w:val="Lijstnummering"/>
        <w:rPr>
          <w:rStyle w:val="normaltextrun"/>
        </w:rPr>
      </w:pPr>
      <w:r w:rsidRPr="0039676A">
        <w:rPr>
          <w:rStyle w:val="normaltextrun"/>
        </w:rPr>
        <w:lastRenderedPageBreak/>
        <w:t xml:space="preserve">de economische en financiële draagkracht; en/of </w:t>
      </w:r>
    </w:p>
    <w:p w14:paraId="120C4861" w14:textId="5AF642CC" w:rsidR="005D3CE1" w:rsidRPr="0039676A" w:rsidRDefault="005D3CE1" w:rsidP="0039676A">
      <w:pPr>
        <w:pStyle w:val="Lijstnummering"/>
        <w:rPr>
          <w:rStyle w:val="normaltextrun"/>
        </w:rPr>
      </w:pPr>
      <w:r w:rsidRPr="0039676A">
        <w:rPr>
          <w:rStyle w:val="normaltextrun"/>
        </w:rPr>
        <w:t xml:space="preserve">de technische en beroepsbekwaamheid. </w:t>
      </w:r>
    </w:p>
    <w:p w14:paraId="7C4168FB" w14:textId="77777777" w:rsidR="005D3CE1" w:rsidRPr="003D534F" w:rsidRDefault="005D3CE1" w:rsidP="005D3CE1">
      <w:pPr>
        <w:rPr>
          <w:rStyle w:val="normaltextrun"/>
          <w:lang w:val="nl-NL"/>
        </w:rPr>
      </w:pPr>
      <w:r>
        <w:rPr>
          <w:rStyle w:val="normaltextrun"/>
          <w:lang w:val="nl-NL"/>
        </w:rPr>
        <w:t xml:space="preserve">Aangezien de evaluatie van het charter aan het licht bracht dat klachten inzake selectiecriteria voornamelijk handelen over opties 2 en 3, wordt dan ook </w:t>
      </w:r>
      <w:r w:rsidRPr="003D534F">
        <w:rPr>
          <w:rStyle w:val="normaltextrun"/>
          <w:lang w:val="nl-NL"/>
        </w:rPr>
        <w:t xml:space="preserve">in dit principe </w:t>
      </w:r>
      <w:r>
        <w:rPr>
          <w:rStyle w:val="normaltextrun"/>
          <w:lang w:val="nl-NL"/>
        </w:rPr>
        <w:t>op die twee opties gefocust</w:t>
      </w:r>
      <w:r w:rsidRPr="003D534F">
        <w:rPr>
          <w:rStyle w:val="normaltextrun"/>
          <w:lang w:val="nl-NL"/>
        </w:rPr>
        <w:t>.</w:t>
      </w:r>
    </w:p>
    <w:p w14:paraId="74656AC7" w14:textId="147B5B43" w:rsidR="005D3CE1" w:rsidRPr="003D534F" w:rsidRDefault="005D3CE1" w:rsidP="005D3CE1">
      <w:pPr>
        <w:rPr>
          <w:rStyle w:val="normaltextrun"/>
          <w:lang w:val="nl-NL"/>
        </w:rPr>
      </w:pPr>
      <w:r w:rsidRPr="003D534F">
        <w:rPr>
          <w:rStyle w:val="normaltextrun"/>
          <w:lang w:val="nl-NL"/>
        </w:rPr>
        <w:t xml:space="preserve">De </w:t>
      </w:r>
      <w:r w:rsidR="00F43A04">
        <w:rPr>
          <w:rStyle w:val="normaltextrun"/>
          <w:lang w:val="nl-NL"/>
        </w:rPr>
        <w:t>aanbesteder</w:t>
      </w:r>
      <w:r w:rsidRPr="003D534F">
        <w:rPr>
          <w:rStyle w:val="normaltextrun"/>
          <w:lang w:val="nl-NL"/>
        </w:rPr>
        <w:t xml:space="preserve"> mag alleen deze criteria als voorwaarde voor deelname opleggen aan de kandidaten en inschrijvers. </w:t>
      </w:r>
      <w:r>
        <w:rPr>
          <w:rStyle w:val="normaltextrun"/>
          <w:lang w:val="nl-NL"/>
        </w:rPr>
        <w:t>De aanbesteders</w:t>
      </w:r>
      <w:r w:rsidRPr="003D534F">
        <w:rPr>
          <w:rStyle w:val="normaltextrun"/>
          <w:lang w:val="nl-NL"/>
        </w:rPr>
        <w:t xml:space="preserve"> </w:t>
      </w:r>
      <w:r w:rsidRPr="00D125EB">
        <w:rPr>
          <w:rStyle w:val="normaltextrun"/>
          <w:b/>
          <w:bCs/>
          <w:lang w:val="nl-NL"/>
        </w:rPr>
        <w:t>beperken deze voorwaarden tot diegene die</w:t>
      </w:r>
      <w:r>
        <w:rPr>
          <w:rStyle w:val="normaltextrun"/>
          <w:lang w:val="nl-NL"/>
        </w:rPr>
        <w:t xml:space="preserve"> </w:t>
      </w:r>
      <w:r w:rsidRPr="003D534F">
        <w:rPr>
          <w:rStyle w:val="normaltextrun"/>
          <w:lang w:val="nl-NL"/>
        </w:rPr>
        <w:t>kunnen garanderen dat een kandidaat of inschrijver over de</w:t>
      </w:r>
      <w:r>
        <w:rPr>
          <w:rStyle w:val="normaltextrun"/>
          <w:lang w:val="nl-NL"/>
        </w:rPr>
        <w:t xml:space="preserve"> noodzakelijke</w:t>
      </w:r>
      <w:r w:rsidRPr="003D534F">
        <w:rPr>
          <w:rStyle w:val="normaltextrun"/>
          <w:lang w:val="nl-NL"/>
        </w:rPr>
        <w:t xml:space="preserve"> juridische en financiële middelen en de technische bekwaamheden en beroepsbekwaamheden beschikt om de te gunnen opdracht uit te voeren. Alle voorwaarden houden </w:t>
      </w:r>
      <w:r w:rsidRPr="003D534F">
        <w:rPr>
          <w:rStyle w:val="normaltextrun"/>
          <w:b/>
          <w:bCs/>
          <w:lang w:val="nl-NL"/>
        </w:rPr>
        <w:t>verband met en staan in verhouding tot</w:t>
      </w:r>
      <w:r w:rsidRPr="003D534F">
        <w:rPr>
          <w:rStyle w:val="normaltextrun"/>
          <w:lang w:val="nl-NL"/>
        </w:rPr>
        <w:t xml:space="preserve"> het voorwerp van de opdracht.</w:t>
      </w:r>
    </w:p>
    <w:p w14:paraId="71BE4F66" w14:textId="6599F58C" w:rsidR="005D3CE1" w:rsidRDefault="005D3CE1" w:rsidP="005D3CE1">
      <w:pPr>
        <w:rPr>
          <w:rStyle w:val="normaltextrun"/>
          <w:lang w:val="nl-NL"/>
        </w:rPr>
      </w:pPr>
      <w:r w:rsidRPr="003D534F">
        <w:rPr>
          <w:rStyle w:val="normaltextrun"/>
          <w:lang w:val="nl-NL"/>
        </w:rPr>
        <w:t>Er is een verplichting</w:t>
      </w:r>
      <w:r w:rsidR="00323298" w:rsidRPr="003D534F">
        <w:rPr>
          <w:rStyle w:val="normaltextrun"/>
          <w:lang w:val="nl-NL"/>
        </w:rPr>
        <w:t xml:space="preserve"> </w:t>
      </w:r>
      <w:r w:rsidRPr="003D534F">
        <w:rPr>
          <w:rStyle w:val="normaltextrun"/>
          <w:lang w:val="nl-NL"/>
        </w:rPr>
        <w:t xml:space="preserve">om </w:t>
      </w:r>
      <w:r w:rsidRPr="00992FD0">
        <w:rPr>
          <w:rStyle w:val="normaltextrun"/>
          <w:b/>
          <w:bCs/>
          <w:lang w:val="nl-NL"/>
        </w:rPr>
        <w:t>elk selectiecriterium te verbinden aan een gepast</w:t>
      </w:r>
      <w:r w:rsidRPr="003D534F">
        <w:rPr>
          <w:rStyle w:val="normaltextrun"/>
          <w:b/>
          <w:bCs/>
          <w:lang w:val="nl-NL"/>
        </w:rPr>
        <w:t xml:space="preserve"> niveau</w:t>
      </w:r>
      <w:r w:rsidRPr="003D534F">
        <w:rPr>
          <w:rStyle w:val="normaltextrun"/>
          <w:lang w:val="nl-NL"/>
        </w:rPr>
        <w:t xml:space="preserve">. De Raad van State heeft er herhaaldelijk en op consistente wijze op gewezen dat het gebruik van kwalitatieve selectiecriteria slechts betekenis heeft indien deze criteria gepaard gaan met een gepast niveau dat moet gehaald worden met het oog op de selectie. </w:t>
      </w:r>
    </w:p>
    <w:p w14:paraId="63B666F8" w14:textId="77777777" w:rsidR="005D3CE1" w:rsidRDefault="005D3CE1" w:rsidP="005D3CE1">
      <w:pPr>
        <w:rPr>
          <w:rStyle w:val="normaltextrun"/>
          <w:lang w:val="nl-NL"/>
        </w:rPr>
      </w:pPr>
      <w:r w:rsidRPr="003D534F">
        <w:rPr>
          <w:rStyle w:val="normaltextrun"/>
          <w:lang w:val="nl-NL"/>
        </w:rPr>
        <w:t xml:space="preserve">In afwezigheid van een dergelijk niveau zou het </w:t>
      </w:r>
      <w:r>
        <w:rPr>
          <w:rStyle w:val="normaltextrun"/>
          <w:lang w:val="nl-NL"/>
        </w:rPr>
        <w:t xml:space="preserve">immers </w:t>
      </w:r>
      <w:r w:rsidRPr="003D534F">
        <w:rPr>
          <w:rStyle w:val="normaltextrun"/>
          <w:lang w:val="nl-NL"/>
        </w:rPr>
        <w:t xml:space="preserve">mogelijk zijn dat ondernemers met een potentieel verschillende draagkracht op identieke en dus discriminatoire wijze behandeld worden. Als de aanbestedende overheid bijvoorbeeld eenvoudigweg vraagt om een lijst over te </w:t>
      </w:r>
      <w:r>
        <w:rPr>
          <w:rStyle w:val="normaltextrun"/>
          <w:lang w:val="nl-NL"/>
        </w:rPr>
        <w:t>maken</w:t>
      </w:r>
      <w:r w:rsidRPr="003D534F">
        <w:rPr>
          <w:rStyle w:val="normaltextrun"/>
          <w:lang w:val="nl-NL"/>
        </w:rPr>
        <w:t xml:space="preserve"> van de werken die in de loop van de laatste vijf jaar uitgevoerd werden, dan zou een aannemer die vijf werken heeft verricht van 10.000 euro op dezelfde wijze worden behandeld als een andere aannemer die er tien heeft gerealiseerd voor 200.000 euro elk. </w:t>
      </w:r>
    </w:p>
    <w:p w14:paraId="76EFE861" w14:textId="6865369E" w:rsidR="005D3CE1" w:rsidRPr="003D534F" w:rsidRDefault="005D3CE1" w:rsidP="005D3CE1">
      <w:pPr>
        <w:rPr>
          <w:rStyle w:val="normaltextrun"/>
          <w:lang w:val="nl-NL"/>
        </w:rPr>
      </w:pPr>
      <w:r w:rsidRPr="003D534F">
        <w:rPr>
          <w:rStyle w:val="normaltextrun"/>
          <w:lang w:val="nl-NL"/>
        </w:rPr>
        <w:t xml:space="preserve">De </w:t>
      </w:r>
      <w:r w:rsidR="00B16B38">
        <w:rPr>
          <w:rStyle w:val="normaltextrun"/>
          <w:lang w:val="nl-NL"/>
        </w:rPr>
        <w:t>aanbesteder</w:t>
      </w:r>
      <w:r w:rsidRPr="003D534F">
        <w:rPr>
          <w:rStyle w:val="normaltextrun"/>
          <w:lang w:val="nl-NL"/>
        </w:rPr>
        <w:t xml:space="preserve"> </w:t>
      </w:r>
      <w:r w:rsidRPr="003D534F">
        <w:rPr>
          <w:rStyle w:val="normaltextrun"/>
          <w:b/>
          <w:bCs/>
          <w:lang w:val="nl-NL"/>
        </w:rPr>
        <w:t>kan beslissen</w:t>
      </w:r>
      <w:r w:rsidR="009254D8">
        <w:rPr>
          <w:rStyle w:val="normaltextrun"/>
          <w:b/>
          <w:bCs/>
          <w:lang w:val="nl-NL"/>
        </w:rPr>
        <w:t xml:space="preserve"> om</w:t>
      </w:r>
      <w:r w:rsidRPr="003D534F">
        <w:rPr>
          <w:rStyle w:val="normaltextrun"/>
          <w:b/>
          <w:bCs/>
          <w:lang w:val="nl-NL"/>
        </w:rPr>
        <w:t xml:space="preserve"> economische of technische criteria zonder meer achterwege</w:t>
      </w:r>
      <w:r w:rsidRPr="003D534F">
        <w:rPr>
          <w:rStyle w:val="normaltextrun"/>
          <w:lang w:val="nl-NL"/>
        </w:rPr>
        <w:t xml:space="preserve"> te laten. De </w:t>
      </w:r>
      <w:r w:rsidR="00A54CC6">
        <w:rPr>
          <w:rStyle w:val="normaltextrun"/>
          <w:lang w:val="nl-NL"/>
        </w:rPr>
        <w:t>aanbesteder</w:t>
      </w:r>
      <w:r w:rsidRPr="003D534F">
        <w:rPr>
          <w:rStyle w:val="normaltextrun"/>
          <w:lang w:val="nl-NL"/>
        </w:rPr>
        <w:t xml:space="preserve"> moet echter, wanneer hij ervoor kiest om een criterium of meerdere criteria in verband met economische draagkracht of technische bekwaamheid of de twee types van criteria te gebruiken, ook een </w:t>
      </w:r>
      <w:r w:rsidRPr="003D534F">
        <w:rPr>
          <w:rStyle w:val="normaltextrun"/>
          <w:b/>
          <w:bCs/>
          <w:lang w:val="nl-NL"/>
        </w:rPr>
        <w:t>niveau bepalen</w:t>
      </w:r>
      <w:r w:rsidRPr="003D534F">
        <w:rPr>
          <w:rStyle w:val="normaltextrun"/>
          <w:lang w:val="nl-NL"/>
        </w:rPr>
        <w:t xml:space="preserve"> </w:t>
      </w:r>
      <w:r w:rsidRPr="002F7133">
        <w:rPr>
          <w:rStyle w:val="normaltextrun"/>
          <w:b/>
          <w:bCs/>
          <w:lang w:val="nl-NL"/>
        </w:rPr>
        <w:t>voor elk</w:t>
      </w:r>
      <w:r w:rsidRPr="003D534F">
        <w:rPr>
          <w:rStyle w:val="normaltextrun"/>
          <w:lang w:val="nl-NL"/>
        </w:rPr>
        <w:t xml:space="preserve"> in aanmerking genomen criterium.</w:t>
      </w:r>
    </w:p>
    <w:p w14:paraId="6CB2D483" w14:textId="044476B0" w:rsidR="005D3CE1" w:rsidRPr="003D534F" w:rsidRDefault="005D3CE1" w:rsidP="005D3CE1">
      <w:pPr>
        <w:rPr>
          <w:rStyle w:val="normaltextrun"/>
          <w:lang w:val="nl-NL"/>
        </w:rPr>
      </w:pPr>
      <w:r w:rsidRPr="003D534F">
        <w:rPr>
          <w:rStyle w:val="normaltextrun"/>
          <w:lang w:val="nl-NL"/>
        </w:rPr>
        <w:t xml:space="preserve">Een </w:t>
      </w:r>
      <w:r w:rsidRPr="002F7133">
        <w:rPr>
          <w:rStyle w:val="normaltextrun"/>
          <w:b/>
          <w:bCs/>
          <w:lang w:val="nl-NL"/>
        </w:rPr>
        <w:t>ondernemer</w:t>
      </w:r>
      <w:r w:rsidRPr="003D534F">
        <w:rPr>
          <w:rStyle w:val="normaltextrun"/>
          <w:lang w:val="nl-NL"/>
        </w:rPr>
        <w:t xml:space="preserve"> kan</w:t>
      </w:r>
      <w:r w:rsidR="00DC6B3F">
        <w:rPr>
          <w:rStyle w:val="normaltextrun"/>
          <w:lang w:val="nl-NL"/>
        </w:rPr>
        <w:t xml:space="preserve"> zich</w:t>
      </w:r>
      <w:r w:rsidRPr="003D534F">
        <w:rPr>
          <w:rStyle w:val="normaltextrun"/>
          <w:lang w:val="nl-NL"/>
        </w:rPr>
        <w:t xml:space="preserve"> voor een bepaalde opdracht </w:t>
      </w:r>
      <w:r w:rsidRPr="00013067">
        <w:rPr>
          <w:rStyle w:val="normaltextrun"/>
          <w:b/>
          <w:bCs/>
          <w:lang w:val="nl-NL"/>
        </w:rPr>
        <w:t>beroepen op</w:t>
      </w:r>
      <w:r w:rsidRPr="003D534F">
        <w:rPr>
          <w:rStyle w:val="normaltextrun"/>
          <w:lang w:val="nl-NL"/>
        </w:rPr>
        <w:t xml:space="preserve"> de economische en financiële </w:t>
      </w:r>
      <w:r w:rsidRPr="00013067">
        <w:rPr>
          <w:rStyle w:val="normaltextrun"/>
          <w:b/>
          <w:bCs/>
          <w:lang w:val="nl-NL"/>
        </w:rPr>
        <w:t>draagkracht</w:t>
      </w:r>
      <w:r w:rsidRPr="003D534F">
        <w:rPr>
          <w:rStyle w:val="normaltextrun"/>
          <w:lang w:val="nl-NL"/>
        </w:rPr>
        <w:t xml:space="preserve"> en de technische en beroepsbekwaamheid </w:t>
      </w:r>
      <w:r w:rsidRPr="003D534F">
        <w:rPr>
          <w:rStyle w:val="normaltextrun"/>
          <w:b/>
          <w:bCs/>
          <w:lang w:val="nl-NL"/>
        </w:rPr>
        <w:t>van andere entiteiten</w:t>
      </w:r>
      <w:r w:rsidRPr="003D534F">
        <w:rPr>
          <w:rStyle w:val="normaltextrun"/>
          <w:lang w:val="nl-NL"/>
        </w:rPr>
        <w:t xml:space="preserve">. </w:t>
      </w:r>
      <w:r>
        <w:rPr>
          <w:rStyle w:val="normaltextrun"/>
          <w:lang w:val="nl-NL"/>
        </w:rPr>
        <w:t>In een dergelijk geval</w:t>
      </w:r>
      <w:r w:rsidRPr="003D534F">
        <w:rPr>
          <w:rStyle w:val="normaltextrun"/>
          <w:lang w:val="nl-NL"/>
        </w:rPr>
        <w:t xml:space="preserve"> </w:t>
      </w:r>
      <w:r w:rsidRPr="00EA2768">
        <w:rPr>
          <w:rStyle w:val="normaltextrun"/>
          <w:lang w:val="nl-NL"/>
        </w:rPr>
        <w:t>kan</w:t>
      </w:r>
      <w:r w:rsidRPr="003D534F">
        <w:rPr>
          <w:rStyle w:val="normaltextrun"/>
          <w:lang w:val="nl-NL"/>
        </w:rPr>
        <w:t xml:space="preserve"> de aanbestedende overheid eisen dat de ondernemer en die entiteiten hoofdelijk aansprakelijk zijn voor de uitvoering van de opdracht, voor zover deze mogelijkheid om hoofdelijke aansprakelijkheid te eisen niet werd uitgesloten in de opdrachtdocumenten.</w:t>
      </w:r>
    </w:p>
    <w:p w14:paraId="5EEC5A46" w14:textId="2A25ACDE" w:rsidR="00D36623" w:rsidRDefault="005D3CE1" w:rsidP="00D36623">
      <w:pPr>
        <w:rPr>
          <w:rStyle w:val="eop"/>
        </w:rPr>
      </w:pPr>
      <w:r w:rsidRPr="003D534F">
        <w:rPr>
          <w:rStyle w:val="normaltextrun"/>
          <w:lang w:val="nl-NL"/>
        </w:rPr>
        <w:t xml:space="preserve">De </w:t>
      </w:r>
      <w:r w:rsidR="00594B8D">
        <w:rPr>
          <w:rStyle w:val="normaltextrun"/>
          <w:lang w:val="nl-NL"/>
        </w:rPr>
        <w:t>aanbesteder</w:t>
      </w:r>
      <w:r w:rsidRPr="003D534F">
        <w:rPr>
          <w:rStyle w:val="normaltextrun"/>
          <w:lang w:val="nl-NL"/>
        </w:rPr>
        <w:t xml:space="preserve"> kan eisen dat de ondernemers een </w:t>
      </w:r>
      <w:r w:rsidRPr="001D6C3D">
        <w:rPr>
          <w:rStyle w:val="normaltextrun"/>
          <w:b/>
          <w:bCs/>
          <w:lang w:val="nl-NL"/>
        </w:rPr>
        <w:t>minimumjaaromzet</w:t>
      </w:r>
      <w:r w:rsidRPr="003D534F">
        <w:rPr>
          <w:rStyle w:val="normaltextrun"/>
          <w:lang w:val="nl-NL"/>
        </w:rPr>
        <w:t xml:space="preserve"> realiseren, met name in het domein waarop de opdracht betrekking heeft.</w:t>
      </w:r>
      <w:r w:rsidRPr="003D534F">
        <w:rPr>
          <w:rStyle w:val="eop"/>
        </w:rPr>
        <w:t> </w:t>
      </w:r>
      <w:r w:rsidRPr="003D534F">
        <w:rPr>
          <w:rStyle w:val="normaltextrun"/>
          <w:lang w:val="nl-NL"/>
        </w:rPr>
        <w:t xml:space="preserve">De jaarlijkse minimumomzet die van de ondernemers kan worden geëist, bedraagt </w:t>
      </w:r>
      <w:r w:rsidRPr="003D534F">
        <w:rPr>
          <w:rStyle w:val="normaltextrun"/>
          <w:b/>
          <w:bCs/>
          <w:lang w:val="nl-NL"/>
        </w:rPr>
        <w:t>maximaal</w:t>
      </w:r>
      <w:r w:rsidRPr="003D534F">
        <w:rPr>
          <w:rStyle w:val="normaltextrun"/>
          <w:lang w:val="nl-NL"/>
        </w:rPr>
        <w:t xml:space="preserve"> </w:t>
      </w:r>
      <w:r w:rsidRPr="001D6C3D">
        <w:rPr>
          <w:rStyle w:val="normaltextrun"/>
          <w:b/>
          <w:bCs/>
          <w:lang w:val="nl-NL"/>
        </w:rPr>
        <w:t>twee maal de geraamde waarde</w:t>
      </w:r>
      <w:r w:rsidRPr="003D534F">
        <w:rPr>
          <w:rStyle w:val="normaltextrun"/>
          <w:lang w:val="nl-NL"/>
        </w:rPr>
        <w:t xml:space="preserve"> van de opdracht, behalve in naar behoren gemotiveerde gevallen, zoals d</w:t>
      </w:r>
      <w:r>
        <w:rPr>
          <w:rStyle w:val="normaltextrun"/>
          <w:lang w:val="nl-NL"/>
        </w:rPr>
        <w:t>iegene</w:t>
      </w:r>
      <w:r w:rsidRPr="003D534F">
        <w:rPr>
          <w:rStyle w:val="normaltextrun"/>
          <w:lang w:val="nl-NL"/>
        </w:rPr>
        <w:t xml:space="preserve"> in verband met de bijzondere risico's die voortvloeien uit de aard van de werken, diensten of producten. De </w:t>
      </w:r>
      <w:r w:rsidR="00594B8D">
        <w:rPr>
          <w:rStyle w:val="normaltextrun"/>
          <w:lang w:val="nl-NL"/>
        </w:rPr>
        <w:t>aanbesteder</w:t>
      </w:r>
      <w:r w:rsidRPr="003D534F">
        <w:rPr>
          <w:rStyle w:val="normaltextrun"/>
          <w:lang w:val="nl-NL"/>
        </w:rPr>
        <w:t xml:space="preserve"> vermeldt de voornaamste redenen voor het opleggen van een dergelijke eis in de opdrachtdocumenten.</w:t>
      </w:r>
      <w:r w:rsidRPr="003D534F">
        <w:rPr>
          <w:rStyle w:val="eop"/>
        </w:rPr>
        <w:t> </w:t>
      </w:r>
    </w:p>
    <w:p w14:paraId="2F3AB03E" w14:textId="4C1BBB46" w:rsidR="00054ECC" w:rsidRDefault="00054ECC" w:rsidP="00D36623">
      <w:pPr>
        <w:pStyle w:val="Kop3"/>
        <w:rPr>
          <w:lang w:val="nl-NL"/>
        </w:rPr>
      </w:pPr>
      <w:bookmarkStart w:id="133" w:name="_Toc135839984"/>
      <w:bookmarkStart w:id="134" w:name="_Toc150870589"/>
      <w:r w:rsidRPr="00884E7E">
        <w:rPr>
          <w:lang w:val="nl-NL"/>
        </w:rPr>
        <w:t xml:space="preserve">Vereisten </w:t>
      </w:r>
      <w:r>
        <w:rPr>
          <w:lang w:val="nl-NL"/>
        </w:rPr>
        <w:t>bij de uitvoering van de opdracht</w:t>
      </w:r>
      <w:bookmarkEnd w:id="133"/>
      <w:bookmarkEnd w:id="134"/>
    </w:p>
    <w:p w14:paraId="10313A85" w14:textId="77777777" w:rsidR="001F4047" w:rsidRPr="00F64F1B" w:rsidRDefault="003E03C1" w:rsidP="00054ECC">
      <w:pPr>
        <w:pStyle w:val="Kop4"/>
        <w:rPr>
          <w:lang w:val="nl-NL"/>
        </w:rPr>
      </w:pPr>
      <w:r w:rsidRPr="00F64F1B">
        <w:rPr>
          <w:lang w:val="nl-NL"/>
        </w:rPr>
        <w:t>Onafhankelijkheidsplicht</w:t>
      </w:r>
    </w:p>
    <w:p w14:paraId="097B994E" w14:textId="38AE5990" w:rsidR="003E03C1" w:rsidRPr="00F64F1B" w:rsidRDefault="00BF257F" w:rsidP="00BF257F">
      <w:pPr>
        <w:rPr>
          <w:lang w:val="nl-NL"/>
        </w:rPr>
      </w:pPr>
      <w:r w:rsidRPr="00F64F1B">
        <w:rPr>
          <w:lang w:val="nl-NL"/>
        </w:rPr>
        <w:t>Vooraleer dieper in te gaan op</w:t>
      </w:r>
      <w:r w:rsidR="004C0A00" w:rsidRPr="00F64F1B">
        <w:rPr>
          <w:lang w:val="nl-NL"/>
        </w:rPr>
        <w:t xml:space="preserve"> de financiële garanties en betalingsmodaliteiten wenst het charter het aspect “onafhankelijkheidsplicht” in herinnering te brengen aan de aanbesteders. </w:t>
      </w:r>
    </w:p>
    <w:p w14:paraId="582DDA3F" w14:textId="499E9A46" w:rsidR="00ED3FAB" w:rsidRPr="00F64F1B" w:rsidRDefault="004C0A00" w:rsidP="00BF257F">
      <w:pPr>
        <w:rPr>
          <w:lang w:val="nl-NL"/>
        </w:rPr>
      </w:pPr>
      <w:r w:rsidRPr="00F64F1B">
        <w:rPr>
          <w:lang w:val="nl-NL"/>
        </w:rPr>
        <w:t xml:space="preserve">Een heel aantal beroepen </w:t>
      </w:r>
      <w:r w:rsidR="00E25CB9" w:rsidRPr="00F64F1B">
        <w:rPr>
          <w:lang w:val="nl-NL"/>
        </w:rPr>
        <w:t>kennen namelijk een onafhankelijkheidsplicht. Het gaat dan onder meer om advocaten, notarissen, journalisten, architecten…</w:t>
      </w:r>
      <w:r w:rsidR="00586E55" w:rsidRPr="00F64F1B">
        <w:rPr>
          <w:lang w:val="nl-NL"/>
        </w:rPr>
        <w:t xml:space="preserve"> Een deel van die beroepen komt vaak in contact met overheidsopdrachten</w:t>
      </w:r>
      <w:r w:rsidR="00674DCC" w:rsidRPr="00F64F1B">
        <w:rPr>
          <w:lang w:val="nl-NL"/>
        </w:rPr>
        <w:t>, maar ondervindt dat het niet</w:t>
      </w:r>
      <w:r w:rsidR="00C827F8">
        <w:rPr>
          <w:lang w:val="nl-NL"/>
        </w:rPr>
        <w:t xml:space="preserve"> altijd</w:t>
      </w:r>
      <w:r w:rsidR="00674DCC" w:rsidRPr="00F64F1B">
        <w:rPr>
          <w:lang w:val="nl-NL"/>
        </w:rPr>
        <w:t xml:space="preserve"> evident is om de verplichte onafhankelijkheid te bewaren tijdens het participeren aan een overheidsopdracht. </w:t>
      </w:r>
      <w:r w:rsidR="00ED3FAB" w:rsidRPr="00F64F1B">
        <w:rPr>
          <w:lang w:val="nl-NL"/>
        </w:rPr>
        <w:t xml:space="preserve">Zo </w:t>
      </w:r>
      <w:r w:rsidR="0080620F">
        <w:rPr>
          <w:lang w:val="nl-NL"/>
        </w:rPr>
        <w:t>kunnen</w:t>
      </w:r>
      <w:r w:rsidR="0080620F" w:rsidRPr="00F64F1B">
        <w:rPr>
          <w:lang w:val="nl-NL"/>
        </w:rPr>
        <w:t xml:space="preserve"> </w:t>
      </w:r>
      <w:r w:rsidR="00ED3FAB" w:rsidRPr="00F64F1B">
        <w:rPr>
          <w:lang w:val="nl-NL"/>
        </w:rPr>
        <w:t>er onder meer problemen</w:t>
      </w:r>
      <w:r w:rsidR="0080620F">
        <w:rPr>
          <w:lang w:val="nl-NL"/>
        </w:rPr>
        <w:t xml:space="preserve"> zijn</w:t>
      </w:r>
      <w:r w:rsidR="00ED3FAB" w:rsidRPr="00F64F1B">
        <w:rPr>
          <w:lang w:val="nl-NL"/>
        </w:rPr>
        <w:t xml:space="preserve"> </w:t>
      </w:r>
      <w:r w:rsidR="00674DCC" w:rsidRPr="00F64F1B">
        <w:rPr>
          <w:lang w:val="nl-NL"/>
        </w:rPr>
        <w:t>met de betalingsmodaliteiten</w:t>
      </w:r>
      <w:r w:rsidR="00D2784B" w:rsidRPr="00F64F1B">
        <w:rPr>
          <w:lang w:val="nl-NL"/>
        </w:rPr>
        <w:t>.</w:t>
      </w:r>
    </w:p>
    <w:p w14:paraId="31787885" w14:textId="388EBA10" w:rsidR="00E743ED" w:rsidRPr="00F64F1B" w:rsidRDefault="00ED3FAB" w:rsidP="00BF257F">
      <w:pPr>
        <w:rPr>
          <w:lang w:val="nl-NL"/>
        </w:rPr>
      </w:pPr>
      <w:r w:rsidRPr="00611D94">
        <w:rPr>
          <w:i/>
          <w:iCs/>
          <w:lang w:val="nl-NL"/>
        </w:rPr>
        <w:t>Volgend voorbeeld over de architecten verduidelijkt</w:t>
      </w:r>
      <w:r w:rsidR="00E743ED" w:rsidRPr="00611D94">
        <w:rPr>
          <w:i/>
          <w:iCs/>
          <w:lang w:val="nl-NL"/>
        </w:rPr>
        <w:t xml:space="preserve"> het</w:t>
      </w:r>
      <w:r w:rsidR="0080620F">
        <w:rPr>
          <w:i/>
          <w:iCs/>
          <w:lang w:val="nl-NL"/>
        </w:rPr>
        <w:t xml:space="preserve"> potent</w:t>
      </w:r>
      <w:r w:rsidR="00287EE5">
        <w:rPr>
          <w:i/>
          <w:iCs/>
          <w:lang w:val="nl-NL"/>
        </w:rPr>
        <w:t>iële</w:t>
      </w:r>
      <w:r w:rsidR="00E743ED" w:rsidRPr="00611D94">
        <w:rPr>
          <w:i/>
          <w:iCs/>
          <w:lang w:val="nl-NL"/>
        </w:rPr>
        <w:t xml:space="preserve"> probleem</w:t>
      </w:r>
      <w:r w:rsidR="00511B01">
        <w:rPr>
          <w:lang w:val="nl-NL"/>
        </w:rPr>
        <w:t>.</w:t>
      </w:r>
    </w:p>
    <w:p w14:paraId="5B81981D" w14:textId="42242EF3" w:rsidR="00E743ED" w:rsidRPr="00E743ED" w:rsidRDefault="00E743ED" w:rsidP="00E743ED">
      <w:pPr>
        <w:rPr>
          <w:lang w:val="nl-NL"/>
        </w:rPr>
      </w:pPr>
      <w:r>
        <w:rPr>
          <w:lang w:val="nl-NL"/>
        </w:rPr>
        <w:t>De wetgeving voorziet</w:t>
      </w:r>
      <w:r w:rsidRPr="00E743ED">
        <w:rPr>
          <w:lang w:val="nl-NL"/>
        </w:rPr>
        <w:t xml:space="preserve"> dat </w:t>
      </w:r>
      <w:r>
        <w:rPr>
          <w:lang w:val="nl-NL"/>
        </w:rPr>
        <w:t>iemand</w:t>
      </w:r>
      <w:r w:rsidRPr="00E743ED">
        <w:rPr>
          <w:lang w:val="nl-NL"/>
        </w:rPr>
        <w:t xml:space="preserve"> een beroep moet doen op de medewerking van een architect voor het opmaken van de plannen en de controle op de uitvoering van de werken waarvoor voorafgaand een aanvraag om toelating tot bouwen is opgelegd.</w:t>
      </w:r>
      <w:r w:rsidR="00A813B2">
        <w:rPr>
          <w:lang w:val="nl-NL"/>
        </w:rPr>
        <w:t xml:space="preserve"> </w:t>
      </w:r>
    </w:p>
    <w:p w14:paraId="5841AFFB" w14:textId="780DCEAA" w:rsidR="004C0A00" w:rsidRDefault="00E743ED" w:rsidP="00E743ED">
      <w:pPr>
        <w:rPr>
          <w:lang w:val="nl-NL"/>
        </w:rPr>
      </w:pPr>
      <w:r w:rsidRPr="00E743ED">
        <w:rPr>
          <w:lang w:val="nl-NL"/>
        </w:rPr>
        <w:lastRenderedPageBreak/>
        <w:t xml:space="preserve">Om een efficiënte controle te kunnen uitoefenen op de uitvoering van de werken, is het noodzakelijk dat de architect over een totale onafhankelijkheid beschikt </w:t>
      </w:r>
      <w:r w:rsidR="00D745A0">
        <w:rPr>
          <w:lang w:val="nl-NL"/>
        </w:rPr>
        <w:t>tegenover</w:t>
      </w:r>
      <w:r w:rsidRPr="00E743ED">
        <w:rPr>
          <w:lang w:val="nl-NL"/>
        </w:rPr>
        <w:t xml:space="preserve"> de aannemer die hij dient te controleren.</w:t>
      </w:r>
      <w:r w:rsidR="00D745A0">
        <w:rPr>
          <w:lang w:val="nl-NL"/>
        </w:rPr>
        <w:t xml:space="preserve"> </w:t>
      </w:r>
    </w:p>
    <w:p w14:paraId="301F10D9" w14:textId="77777777" w:rsidR="00611D94" w:rsidRDefault="00A52983" w:rsidP="00E743ED">
      <w:pPr>
        <w:rPr>
          <w:lang w:val="nl-NL"/>
        </w:rPr>
      </w:pPr>
      <w:r>
        <w:rPr>
          <w:lang w:val="nl-NL"/>
        </w:rPr>
        <w:t>Een concrete aanleiding die kan wijzen op een gebrek aan onafhankelijkheid is bijvoorbeeld het feit dat de aannemer zal instaan voor de betaling van het ereloon van de architect.</w:t>
      </w:r>
    </w:p>
    <w:p w14:paraId="6FBD6DB0" w14:textId="59F60FFC" w:rsidR="0091378E" w:rsidRDefault="00611D94" w:rsidP="00E743ED">
      <w:pPr>
        <w:rPr>
          <w:lang w:val="nl-NL"/>
        </w:rPr>
      </w:pPr>
      <w:r>
        <w:rPr>
          <w:lang w:val="nl-NL"/>
        </w:rPr>
        <w:t>Bij overheidsopdrachten van werken</w:t>
      </w:r>
      <w:r w:rsidR="009B3250">
        <w:rPr>
          <w:lang w:val="nl-NL"/>
        </w:rPr>
        <w:t xml:space="preserve">, vaak </w:t>
      </w:r>
      <w:r w:rsidR="00295CE9">
        <w:rPr>
          <w:lang w:val="nl-NL"/>
        </w:rPr>
        <w:t xml:space="preserve">diegene </w:t>
      </w:r>
      <w:r w:rsidR="009B3250">
        <w:rPr>
          <w:lang w:val="nl-NL"/>
        </w:rPr>
        <w:t>onder de vorm van DB</w:t>
      </w:r>
      <w:r w:rsidR="00895322">
        <w:rPr>
          <w:lang w:val="nl-NL"/>
        </w:rPr>
        <w:t>(</w:t>
      </w:r>
      <w:r w:rsidR="009B3250">
        <w:rPr>
          <w:lang w:val="nl-NL"/>
        </w:rPr>
        <w:t>FM</w:t>
      </w:r>
      <w:r w:rsidR="00895322">
        <w:rPr>
          <w:lang w:val="nl-NL"/>
        </w:rPr>
        <w:t>)</w:t>
      </w:r>
      <w:r w:rsidR="009B3250">
        <w:rPr>
          <w:lang w:val="nl-NL"/>
        </w:rPr>
        <w:t>, stellen architecten</w:t>
      </w:r>
      <w:r w:rsidR="00857EB6">
        <w:rPr>
          <w:lang w:val="nl-NL"/>
        </w:rPr>
        <w:t xml:space="preserve"> echter</w:t>
      </w:r>
      <w:r w:rsidR="009B3250">
        <w:rPr>
          <w:lang w:val="nl-NL"/>
        </w:rPr>
        <w:t xml:space="preserve"> op regelmatige basis </w:t>
      </w:r>
      <w:r w:rsidR="00E119A2">
        <w:rPr>
          <w:lang w:val="nl-NL"/>
        </w:rPr>
        <w:t xml:space="preserve">net bovenstaand probleem vast: er werd </w:t>
      </w:r>
      <w:r w:rsidR="00FA28B8">
        <w:rPr>
          <w:lang w:val="nl-NL"/>
        </w:rPr>
        <w:t xml:space="preserve">in het bestek </w:t>
      </w:r>
      <w:r w:rsidR="00E119A2">
        <w:rPr>
          <w:lang w:val="nl-NL"/>
        </w:rPr>
        <w:t xml:space="preserve">geen aparte post voorzien voor het ereloon van </w:t>
      </w:r>
      <w:r w:rsidR="004573BC">
        <w:rPr>
          <w:lang w:val="nl-NL"/>
        </w:rPr>
        <w:t xml:space="preserve">de </w:t>
      </w:r>
      <w:r w:rsidR="00E119A2">
        <w:rPr>
          <w:lang w:val="nl-NL"/>
        </w:rPr>
        <w:t>architect</w:t>
      </w:r>
      <w:r w:rsidR="004C24C4">
        <w:rPr>
          <w:lang w:val="nl-NL"/>
        </w:rPr>
        <w:t xml:space="preserve"> waardoor zij afhankelijk zijn van een andere partij</w:t>
      </w:r>
      <w:r w:rsidR="00FB6A74">
        <w:rPr>
          <w:lang w:val="nl-NL"/>
        </w:rPr>
        <w:t>, bijvoorbeeld binnen een consortium,</w:t>
      </w:r>
      <w:r w:rsidR="004C24C4">
        <w:rPr>
          <w:lang w:val="nl-NL"/>
        </w:rPr>
        <w:t xml:space="preserve"> voor de bepaling en uitbetaling ervan</w:t>
      </w:r>
      <w:r w:rsidR="00A22433">
        <w:rPr>
          <w:lang w:val="nl-NL"/>
        </w:rPr>
        <w:t>.</w:t>
      </w:r>
      <w:r w:rsidR="00D912AE">
        <w:rPr>
          <w:lang w:val="nl-NL"/>
        </w:rPr>
        <w:t xml:space="preserve"> </w:t>
      </w:r>
      <w:r w:rsidR="00823997">
        <w:rPr>
          <w:lang w:val="nl-NL"/>
        </w:rPr>
        <w:t>Dat terwijl een</w:t>
      </w:r>
      <w:r w:rsidR="00D912AE">
        <w:rPr>
          <w:lang w:val="nl-NL"/>
        </w:rPr>
        <w:t xml:space="preserve"> dergelijke situatie</w:t>
      </w:r>
      <w:r w:rsidR="00604FD2">
        <w:rPr>
          <w:lang w:val="nl-NL"/>
        </w:rPr>
        <w:t xml:space="preserve"> </w:t>
      </w:r>
      <w:r w:rsidR="00341DD1">
        <w:rPr>
          <w:lang w:val="nl-NL"/>
        </w:rPr>
        <w:t xml:space="preserve">potentieel </w:t>
      </w:r>
      <w:r w:rsidR="00D912AE">
        <w:rPr>
          <w:lang w:val="nl-NL"/>
        </w:rPr>
        <w:t>tegenstrijdig</w:t>
      </w:r>
      <w:r w:rsidR="00823997">
        <w:rPr>
          <w:lang w:val="nl-NL"/>
        </w:rPr>
        <w:t xml:space="preserve"> is</w:t>
      </w:r>
      <w:r w:rsidR="00D912AE">
        <w:rPr>
          <w:lang w:val="nl-NL"/>
        </w:rPr>
        <w:t xml:space="preserve"> </w:t>
      </w:r>
      <w:r w:rsidR="00FA28B8">
        <w:rPr>
          <w:lang w:val="nl-NL"/>
        </w:rPr>
        <w:t xml:space="preserve">met hun onafhankelijkheidsplicht. </w:t>
      </w:r>
      <w:r w:rsidR="00DB4270">
        <w:rPr>
          <w:lang w:val="nl-NL"/>
        </w:rPr>
        <w:t xml:space="preserve"> </w:t>
      </w:r>
      <w:r w:rsidR="00A22433">
        <w:rPr>
          <w:lang w:val="nl-NL"/>
        </w:rPr>
        <w:t xml:space="preserve"> </w:t>
      </w:r>
    </w:p>
    <w:p w14:paraId="215D6089" w14:textId="7C59D465" w:rsidR="00A52983" w:rsidRDefault="00857EB6" w:rsidP="00E743ED">
      <w:pPr>
        <w:rPr>
          <w:lang w:val="nl-NL"/>
        </w:rPr>
      </w:pPr>
      <w:r w:rsidRPr="0000041A">
        <w:rPr>
          <w:b/>
          <w:bCs/>
          <w:lang w:val="nl-NL"/>
        </w:rPr>
        <w:t xml:space="preserve">Het charter vraagt </w:t>
      </w:r>
      <w:r w:rsidR="00C46C7B">
        <w:rPr>
          <w:b/>
          <w:bCs/>
          <w:lang w:val="nl-NL"/>
        </w:rPr>
        <w:t xml:space="preserve">dus </w:t>
      </w:r>
      <w:r w:rsidRPr="0000041A">
        <w:rPr>
          <w:b/>
          <w:bCs/>
          <w:lang w:val="nl-NL"/>
        </w:rPr>
        <w:t xml:space="preserve">dat aanbesteders het aspect “onafhankelijkheidsplicht” ten allen tijde </w:t>
      </w:r>
      <w:r w:rsidR="004A2985" w:rsidRPr="0000041A">
        <w:rPr>
          <w:b/>
          <w:bCs/>
          <w:lang w:val="nl-NL"/>
        </w:rPr>
        <w:t>in het achterhoofd houden</w:t>
      </w:r>
      <w:r w:rsidR="004D6A99">
        <w:rPr>
          <w:lang w:val="nl-NL"/>
        </w:rPr>
        <w:t>, onder andere bij het bepalen van de betalingsmodaliteiten. Het is noodzakelijk om</w:t>
      </w:r>
      <w:r w:rsidR="009F0D26">
        <w:rPr>
          <w:lang w:val="nl-NL"/>
        </w:rPr>
        <w:t xml:space="preserve"> </w:t>
      </w:r>
      <w:r w:rsidR="003E3E30" w:rsidRPr="0000041A">
        <w:rPr>
          <w:b/>
          <w:bCs/>
          <w:lang w:val="nl-NL"/>
        </w:rPr>
        <w:t xml:space="preserve">daarover </w:t>
      </w:r>
      <w:r w:rsidR="009F0D26" w:rsidRPr="0000041A">
        <w:rPr>
          <w:b/>
          <w:bCs/>
          <w:lang w:val="nl-NL"/>
        </w:rPr>
        <w:t>voldoende voorafgaand onder</w:t>
      </w:r>
      <w:r w:rsidR="003E3E30" w:rsidRPr="0000041A">
        <w:rPr>
          <w:b/>
          <w:bCs/>
          <w:lang w:val="nl-NL"/>
        </w:rPr>
        <w:t xml:space="preserve">zoek </w:t>
      </w:r>
      <w:r w:rsidR="0000041A">
        <w:rPr>
          <w:b/>
          <w:bCs/>
          <w:lang w:val="nl-NL"/>
        </w:rPr>
        <w:t xml:space="preserve">te </w:t>
      </w:r>
      <w:r w:rsidR="003E3E30" w:rsidRPr="0000041A">
        <w:rPr>
          <w:b/>
          <w:bCs/>
          <w:lang w:val="nl-NL"/>
        </w:rPr>
        <w:t>verrichten</w:t>
      </w:r>
      <w:r w:rsidR="003E3E30">
        <w:rPr>
          <w:lang w:val="nl-NL"/>
        </w:rPr>
        <w:t xml:space="preserve"> tijdens de fase van de marktverkenning. </w:t>
      </w:r>
    </w:p>
    <w:p w14:paraId="25A66188" w14:textId="01D87D58" w:rsidR="00B92E65" w:rsidRPr="008D11E9" w:rsidRDefault="00DF1A0D" w:rsidP="00E743ED">
      <w:pPr>
        <w:rPr>
          <w:lang w:val="nl-NL"/>
        </w:rPr>
      </w:pPr>
      <w:r>
        <w:rPr>
          <w:rFonts w:eastAsia="Lato" w:cs="Lato"/>
          <w:color w:val="000000" w:themeColor="text1"/>
        </w:rPr>
        <w:t>Ter info: de problematiek van de erelonen bij intellectuele prestaties komt eveneens aan bod</w:t>
      </w:r>
      <w:r w:rsidR="008D11E9">
        <w:rPr>
          <w:rFonts w:eastAsia="Lato" w:cs="Lato"/>
          <w:color w:val="000000" w:themeColor="text1"/>
        </w:rPr>
        <w:t xml:space="preserve"> onder </w:t>
      </w:r>
      <w:r w:rsidR="008D11E9" w:rsidRPr="001A18AD">
        <w:rPr>
          <w:rFonts w:eastAsia="Lato" w:cs="Lato"/>
          <w:color w:val="000000" w:themeColor="text1"/>
        </w:rPr>
        <w:t>principe 9 over de gunningscriteria, meer specifiek punt 9.3.2</w:t>
      </w:r>
      <w:r w:rsidR="00B26E65" w:rsidRPr="001A18AD">
        <w:rPr>
          <w:rFonts w:eastAsia="Lato" w:cs="Lato"/>
          <w:color w:val="000000" w:themeColor="text1"/>
        </w:rPr>
        <w:t>.</w:t>
      </w:r>
    </w:p>
    <w:p w14:paraId="6F47E8AB" w14:textId="61C63750" w:rsidR="00054ECC" w:rsidRPr="00D1546F" w:rsidRDefault="00F23691" w:rsidP="00054ECC">
      <w:pPr>
        <w:pStyle w:val="Kop4"/>
        <w:rPr>
          <w:lang w:val="nl-BE"/>
        </w:rPr>
      </w:pPr>
      <w:r w:rsidRPr="00D1546F">
        <w:rPr>
          <w:lang w:val="nl-BE"/>
        </w:rPr>
        <w:t>De b</w:t>
      </w:r>
      <w:r w:rsidR="00B83C7C" w:rsidRPr="00D1546F">
        <w:rPr>
          <w:lang w:val="nl-BE"/>
        </w:rPr>
        <w:t>orgtocht</w:t>
      </w:r>
    </w:p>
    <w:p w14:paraId="2A458FE0" w14:textId="6D21FAE5" w:rsidR="00432D00" w:rsidRDefault="00432D00" w:rsidP="0083464D">
      <w:r w:rsidRPr="00346EF5">
        <w:t xml:space="preserve">Het KB van </w:t>
      </w:r>
      <w:hyperlink r:id="rId82" w:history="1">
        <w:r w:rsidRPr="00E72BB3">
          <w:rPr>
            <w:rStyle w:val="Hyperlink"/>
          </w:rPr>
          <w:t>4 september 2023</w:t>
        </w:r>
      </w:hyperlink>
      <w:r w:rsidRPr="00346EF5">
        <w:t xml:space="preserve"> </w:t>
      </w:r>
      <w:r>
        <w:t>heeft</w:t>
      </w:r>
      <w:r w:rsidRPr="00346EF5">
        <w:t xml:space="preserve"> de borgtochtregeling aanwezig in</w:t>
      </w:r>
      <w:r w:rsidR="00725704">
        <w:t xml:space="preserve"> het</w:t>
      </w:r>
      <w:r w:rsidRPr="00346EF5">
        <w:t xml:space="preserve"> KB AUR van </w:t>
      </w:r>
      <w:hyperlink r:id="rId83" w:history="1">
        <w:r w:rsidRPr="00A67742">
          <w:rPr>
            <w:rStyle w:val="Hyperlink"/>
          </w:rPr>
          <w:t>14 januari 2013</w:t>
        </w:r>
      </w:hyperlink>
      <w:r>
        <w:t xml:space="preserve"> gewijzigd</w:t>
      </w:r>
      <w:r w:rsidRPr="00346EF5">
        <w:t xml:space="preserve">. </w:t>
      </w:r>
      <w:r w:rsidR="001F7C1D">
        <w:t xml:space="preserve">Volgens </w:t>
      </w:r>
      <w:r w:rsidR="008F3F57">
        <w:t>het nieuwe artikel 25</w:t>
      </w:r>
      <w:r w:rsidRPr="00346EF5">
        <w:t xml:space="preserve"> </w:t>
      </w:r>
      <w:r w:rsidR="0079069D">
        <w:t>wordt</w:t>
      </w:r>
      <w:r w:rsidRPr="00346EF5">
        <w:t xml:space="preserve"> in principe een borgtocht voorzien. Het bedrag hiervan wordt automatisch vastgesteld op vijf procent van de waarde van de opdracht. De aanbesteder kan echter </w:t>
      </w:r>
      <w:r w:rsidRPr="007843F0">
        <w:rPr>
          <w:b/>
          <w:bCs/>
        </w:rPr>
        <w:t>beslissen geen borgtocht te eisen of een lager percentage</w:t>
      </w:r>
      <w:r w:rsidRPr="00346EF5">
        <w:t xml:space="preserve"> dan vijf procent vast te stellen, zonder dat dit een afwijking vormt van de algemene uitvoeringsregels. Er moet evenwel een bepaling in die zin worden opgenomen in de opdrachtdocumenten, </w:t>
      </w:r>
      <w:r w:rsidRPr="007843F0">
        <w:rPr>
          <w:b/>
          <w:bCs/>
        </w:rPr>
        <w:t>zonder dat een rechtvaardiging vereist is</w:t>
      </w:r>
      <w:r w:rsidRPr="00346EF5">
        <w:t>. Alleen als de aanbesteder beslist een borgtocht te eisen met een hoger percentage dan vijf procent, is er sprake van een afwijking en is een motivering vereist.</w:t>
      </w:r>
    </w:p>
    <w:p w14:paraId="3FC5A283" w14:textId="5C1BDF7B" w:rsidR="00E422BA" w:rsidRDefault="00E422BA" w:rsidP="0083464D">
      <w:r w:rsidRPr="00E422BA">
        <w:t>Voor opdrachten in gedeelten wordt de borgtocht, wanneer die verplicht is, gesteld per uit te voeren gedeelte.</w:t>
      </w:r>
    </w:p>
    <w:p w14:paraId="49AD4ABB" w14:textId="77777777" w:rsidR="00432D00" w:rsidRPr="00346EF5" w:rsidRDefault="00432D00" w:rsidP="0083464D">
      <w:r w:rsidRPr="00F749E9">
        <w:t xml:space="preserve">De aanbesteder mag geen borgtocht eisen voor overheidsopdrachten en raamovereenkomsten waarvan het </w:t>
      </w:r>
      <w:r w:rsidRPr="007843F0">
        <w:rPr>
          <w:b/>
          <w:bCs/>
        </w:rPr>
        <w:t>gunningsbedrag</w:t>
      </w:r>
      <w:r w:rsidRPr="00F749E9">
        <w:t xml:space="preserve"> lager is dan 50.000 euro.</w:t>
      </w:r>
    </w:p>
    <w:p w14:paraId="1818D748" w14:textId="3AACD4EC" w:rsidR="00432D00" w:rsidRPr="00346EF5" w:rsidRDefault="00432D00" w:rsidP="0083464D">
      <w:r w:rsidRPr="00346EF5">
        <w:t xml:space="preserve">De modaliteiten voor de vrijgave van de borgtocht werden eveneens herzien. </w:t>
      </w:r>
      <w:r w:rsidR="0087641A">
        <w:t>Sindsdien bepaalt a</w:t>
      </w:r>
      <w:r w:rsidR="00346810">
        <w:t xml:space="preserve">rtikel 33 </w:t>
      </w:r>
      <w:r w:rsidRPr="00346EF5">
        <w:t>dat de borgtocht wordt vrijgegeven (op initiatief van de aanbesteder), zelfs zonder dat de opdrachtnemer hierom verzoekt, indien de aanbesteder de oplevering aanvaardt.</w:t>
      </w:r>
      <w:r>
        <w:t xml:space="preserve"> </w:t>
      </w:r>
      <w:r w:rsidR="008D3737">
        <w:t>Wanneer</w:t>
      </w:r>
      <w:r w:rsidRPr="00C700C6">
        <w:t xml:space="preserve"> de aanbesteder de voorlopige en/of definitieve oplevering aanvaardt, wordt de borgtocht voor de helft of volledig vrijgegeven</w:t>
      </w:r>
      <w:r>
        <w:t xml:space="preserve">. </w:t>
      </w:r>
    </w:p>
    <w:p w14:paraId="7F598177" w14:textId="2BC5E7DD" w:rsidR="005C436D" w:rsidRPr="0083464D" w:rsidRDefault="00432D00" w:rsidP="0083464D">
      <w:r w:rsidRPr="00346EF5">
        <w:t xml:space="preserve">Deze bepalingen </w:t>
      </w:r>
      <w:r w:rsidR="0084090D">
        <w:t>zijn</w:t>
      </w:r>
      <w:r w:rsidRPr="00346EF5">
        <w:t xml:space="preserve"> in werking</w:t>
      </w:r>
      <w:r w:rsidR="0084090D">
        <w:t xml:space="preserve"> getreden</w:t>
      </w:r>
      <w:r w:rsidRPr="00346EF5">
        <w:t xml:space="preserve"> op 1 november 2023.</w:t>
      </w:r>
    </w:p>
    <w:p w14:paraId="611BFBE5" w14:textId="5CCDA353" w:rsidR="00B83C7C" w:rsidRPr="00D1546F" w:rsidRDefault="00B83C7C" w:rsidP="00B83C7C">
      <w:pPr>
        <w:pStyle w:val="Kop4"/>
        <w:rPr>
          <w:lang w:val="nl-BE"/>
        </w:rPr>
      </w:pPr>
      <w:r w:rsidRPr="00D1546F">
        <w:rPr>
          <w:lang w:val="nl-BE"/>
        </w:rPr>
        <w:t>Voorschotten</w:t>
      </w:r>
    </w:p>
    <w:tbl>
      <w:tblPr>
        <w:tblStyle w:val="Tabelraster"/>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FB50CA" w:rsidRPr="00CB7F27" w14:paraId="5380C00D" w14:textId="77777777" w:rsidTr="00C65586">
        <w:tc>
          <w:tcPr>
            <w:tcW w:w="5000" w:type="pct"/>
            <w:shd w:val="clear" w:color="auto" w:fill="FFF2CC" w:themeFill="accent4" w:themeFillTint="33"/>
          </w:tcPr>
          <w:p w14:paraId="44B449D1" w14:textId="65071BD8" w:rsidR="00E43EBA" w:rsidRPr="00CB7F27" w:rsidRDefault="00FB50CA" w:rsidP="00C65586">
            <w:pPr>
              <w:rPr>
                <w:b/>
                <w:bCs/>
                <w:i/>
                <w:iCs/>
              </w:rPr>
            </w:pPr>
            <w:r w:rsidRPr="008B55A0">
              <w:rPr>
                <w:b/>
                <w:bCs/>
                <w:i/>
                <w:iCs/>
              </w:rPr>
              <w:t>Toekomstig recht</w:t>
            </w:r>
          </w:p>
        </w:tc>
      </w:tr>
      <w:tr w:rsidR="00FB50CA" w:rsidRPr="00CA7A8C" w14:paraId="7EB86C75" w14:textId="77777777" w:rsidTr="00967964">
        <w:trPr>
          <w:trHeight w:val="4531"/>
        </w:trPr>
        <w:tc>
          <w:tcPr>
            <w:tcW w:w="5000" w:type="pct"/>
            <w:shd w:val="clear" w:color="auto" w:fill="FFF2CC" w:themeFill="accent4" w:themeFillTint="33"/>
          </w:tcPr>
          <w:p w14:paraId="6A97EDFE" w14:textId="304230D6" w:rsidR="00E43EBA" w:rsidRDefault="00F8678F" w:rsidP="00C65586">
            <w:r>
              <w:lastRenderedPageBreak/>
              <w:t>V</w:t>
            </w:r>
            <w:r w:rsidR="00FB50CA" w:rsidRPr="00CA7A8C">
              <w:t xml:space="preserve">ia een update van </w:t>
            </w:r>
            <w:r w:rsidR="00FB50CA" w:rsidRPr="00C10DC9">
              <w:t>de</w:t>
            </w:r>
            <w:r w:rsidR="00FB50CA">
              <w:t xml:space="preserve"> wet overheidsopdrachten</w:t>
            </w:r>
            <w:r>
              <w:t xml:space="preserve"> </w:t>
            </w:r>
            <w:r w:rsidR="005558B7">
              <w:t>wordt voorzien</w:t>
            </w:r>
            <w:r w:rsidR="00FB50CA" w:rsidRPr="00CA7A8C">
              <w:t xml:space="preserve"> in een </w:t>
            </w:r>
            <w:r>
              <w:t>nieuw wetgevend kader over het gebruik van voorschotten</w:t>
            </w:r>
            <w:r w:rsidR="00FB50CA" w:rsidRPr="00CA7A8C">
              <w:t xml:space="preserve">. De publicatie van de nieuwe wetgeving </w:t>
            </w:r>
            <w:r w:rsidR="00C91E9D">
              <w:t>staat</w:t>
            </w:r>
            <w:r w:rsidR="00FB50CA" w:rsidRPr="00CA7A8C">
              <w:t xml:space="preserve"> momenteel </w:t>
            </w:r>
            <w:r w:rsidR="00C91E9D">
              <w:t>gepland</w:t>
            </w:r>
            <w:r w:rsidR="00FB50CA" w:rsidRPr="00CA7A8C">
              <w:t xml:space="preserve"> </w:t>
            </w:r>
            <w:r w:rsidR="00FB50CA" w:rsidRPr="00D1546F">
              <w:t xml:space="preserve">voor </w:t>
            </w:r>
            <w:r w:rsidR="00F85698" w:rsidRPr="00D1546F">
              <w:t>eind 2023, begin</w:t>
            </w:r>
            <w:r w:rsidR="00FB50CA" w:rsidRPr="00CA7A8C">
              <w:t xml:space="preserve"> 202</w:t>
            </w:r>
            <w:r w:rsidR="00FB50CA">
              <w:t>4</w:t>
            </w:r>
            <w:r w:rsidR="00FB50CA" w:rsidRPr="00CA7A8C">
              <w:t>.</w:t>
            </w:r>
          </w:p>
          <w:p w14:paraId="2E1BBC93" w14:textId="49A86A7A" w:rsidR="00E527DA" w:rsidRDefault="00E527DA" w:rsidP="00C65586">
            <w:r>
              <w:t>Er wordt in dit vernieuwd charter verkozen om enkel stil te staan bij de toekomstige wetgeving</w:t>
            </w:r>
            <w:r w:rsidR="00060322">
              <w:t xml:space="preserve">, zeker aangezien de hoofdreden voor de </w:t>
            </w:r>
            <w:r w:rsidR="001475D6">
              <w:t>aanpassingen</w:t>
            </w:r>
            <w:r w:rsidR="004B42D8">
              <w:t xml:space="preserve"> aan de wetgeving</w:t>
            </w:r>
            <w:r w:rsidR="001475D6">
              <w:t>,</w:t>
            </w:r>
            <w:r w:rsidR="00060322">
              <w:t xml:space="preserve"> het bevorderen van de toegang van kmo’s tot overheidsopdrachten </w:t>
            </w:r>
            <w:r w:rsidR="005558B7">
              <w:t xml:space="preserve">is. </w:t>
            </w:r>
          </w:p>
          <w:p w14:paraId="26441272" w14:textId="77777777" w:rsidR="00C57713" w:rsidRDefault="009E361F" w:rsidP="00C65586">
            <w:r>
              <w:t xml:space="preserve">De nieuwe wetgeving stelt dat </w:t>
            </w:r>
            <w:r w:rsidRPr="009E361F">
              <w:t>aanbesteders in principe geen voorschot moeten toekennen, maar van dit beginsel kunnen afwijken in de opdrachtdocumenten. In dat geval mag het voorschot niet hoger zijn dan twintig procent van de referentiewaarde</w:t>
            </w:r>
            <w:r w:rsidR="00053C46">
              <w:t xml:space="preserve"> en </w:t>
            </w:r>
            <w:r w:rsidRPr="009E361F">
              <w:t>mag het voorschot niet hoger zijn dan het plafond van 225.000 euro</w:t>
            </w:r>
            <w:r w:rsidR="002D064A">
              <w:t xml:space="preserve">. </w:t>
            </w:r>
          </w:p>
          <w:p w14:paraId="49206E84" w14:textId="7AAF41B7" w:rsidR="00AC69E2" w:rsidRDefault="00AC69E2" w:rsidP="00C65586">
            <w:r>
              <w:t>Aanvullend voorziet de wet een verplichting</w:t>
            </w:r>
            <w:r w:rsidR="000A2F2D">
              <w:t xml:space="preserve"> tot het toekennen van voorschotten in </w:t>
            </w:r>
            <w:r w:rsidR="00447BE5">
              <w:t>een aantal</w:t>
            </w:r>
            <w:r w:rsidR="000A2F2D">
              <w:t xml:space="preserve"> gevallen</w:t>
            </w:r>
            <w:r w:rsidR="00447BE5">
              <w:t>. Die verplichting geldt</w:t>
            </w:r>
            <w:r w:rsidR="0082037A">
              <w:t xml:space="preserve"> onder meer voor aanbesteders die vallen onder de “Staat”</w:t>
            </w:r>
            <w:r w:rsidR="006F3FC1">
              <w:t xml:space="preserve"> (en dus het federale niveau)</w:t>
            </w:r>
            <w:r w:rsidR="0082037A">
              <w:t xml:space="preserve"> </w:t>
            </w:r>
            <w:r w:rsidR="00FE7D55">
              <w:t xml:space="preserve">en </w:t>
            </w:r>
            <w:r w:rsidR="00D92E31" w:rsidRPr="00D92E31">
              <w:t xml:space="preserve">aanbesteders wiens werkzaamheden hoofdzakelijk door </w:t>
            </w:r>
            <w:r w:rsidR="00960C70">
              <w:t>hun</w:t>
            </w:r>
            <w:r w:rsidR="00D92E31" w:rsidRPr="00D92E31">
              <w:t xml:space="preserve"> gefinancierd worden en van wie het beheer aan </w:t>
            </w:r>
            <w:r w:rsidR="00960C70">
              <w:t>hun</w:t>
            </w:r>
            <w:r w:rsidR="00D92E31" w:rsidRPr="00D92E31">
              <w:t xml:space="preserve"> toezicht onderworpen is</w:t>
            </w:r>
            <w:r w:rsidR="005C2356">
              <w:t>.</w:t>
            </w:r>
          </w:p>
          <w:p w14:paraId="7CCAE3F4" w14:textId="363D0263" w:rsidR="005C2356" w:rsidRDefault="0065498D" w:rsidP="00C65586">
            <w:r>
              <w:t>De aanbesteder is verplicht een v</w:t>
            </w:r>
            <w:r w:rsidR="00F33EBC">
              <w:t>oo</w:t>
            </w:r>
            <w:r>
              <w:t>rschot toe te kennen</w:t>
            </w:r>
          </w:p>
          <w:p w14:paraId="05253C0B" w14:textId="4BD5EBF9" w:rsidR="0065498D" w:rsidRPr="00247AFA" w:rsidRDefault="0065498D" w:rsidP="00247AFA">
            <w:pPr>
              <w:pStyle w:val="Bullet1"/>
              <w:rPr>
                <w:lang w:val="nl-BE"/>
              </w:rPr>
            </w:pPr>
            <w:r w:rsidRPr="00D574CF">
              <w:rPr>
                <w:lang w:val="nl-BE"/>
              </w:rPr>
              <w:t>wanneer ze gebruik maken van de onderhandelingsprocedure</w:t>
            </w:r>
            <w:r w:rsidRPr="00247AFA">
              <w:rPr>
                <w:lang w:val="nl-BE"/>
              </w:rPr>
              <w:t xml:space="preserve"> </w:t>
            </w:r>
            <w:r w:rsidRPr="00D574CF">
              <w:rPr>
                <w:lang w:val="nl-BE"/>
              </w:rPr>
              <w:t>zonder voorafgaande bekendmaking</w:t>
            </w:r>
            <w:r w:rsidR="00B77CB6">
              <w:rPr>
                <w:lang w:val="nl-BE"/>
              </w:rPr>
              <w:t xml:space="preserve"> (OPZB)</w:t>
            </w:r>
            <w:r w:rsidRPr="00D574CF">
              <w:rPr>
                <w:lang w:val="nl-BE"/>
              </w:rPr>
              <w:t xml:space="preserve"> of de onderhandelingsprocedure zonder voorafgaande</w:t>
            </w:r>
            <w:r w:rsidR="00247AFA" w:rsidRPr="00D574CF">
              <w:rPr>
                <w:lang w:val="nl-BE"/>
              </w:rPr>
              <w:t xml:space="preserve"> </w:t>
            </w:r>
            <w:r w:rsidR="00247AFA" w:rsidRPr="00247AFA">
              <w:rPr>
                <w:lang w:val="nl-BE"/>
              </w:rPr>
              <w:t>oproep tot mededinging</w:t>
            </w:r>
            <w:r w:rsidR="00B77CB6">
              <w:rPr>
                <w:lang w:val="nl-BE"/>
              </w:rPr>
              <w:t xml:space="preserve"> (OPZ</w:t>
            </w:r>
            <w:r w:rsidR="00DC4D17">
              <w:rPr>
                <w:lang w:val="nl-BE"/>
              </w:rPr>
              <w:t>V</w:t>
            </w:r>
            <w:r w:rsidR="00B77CB6">
              <w:rPr>
                <w:lang w:val="nl-BE"/>
              </w:rPr>
              <w:t>O</w:t>
            </w:r>
            <w:r w:rsidR="00E8165B">
              <w:rPr>
                <w:lang w:val="nl-BE"/>
              </w:rPr>
              <w:t>M</w:t>
            </w:r>
            <w:r w:rsidR="00B77CB6">
              <w:rPr>
                <w:lang w:val="nl-BE"/>
              </w:rPr>
              <w:t>)</w:t>
            </w:r>
            <w:r w:rsidR="00247AFA" w:rsidRPr="00247AFA">
              <w:rPr>
                <w:lang w:val="nl-BE"/>
              </w:rPr>
              <w:t xml:space="preserve"> en daarbij de toepassing van artikel 42, § 1, eerste lid, 1°, a) of c), of 4°, a), dan wel van artikel 124, § 1, 1°, 2°of 3°, inroepen;</w:t>
            </w:r>
          </w:p>
          <w:p w14:paraId="5A75DFA7" w14:textId="48124501" w:rsidR="00247AFA" w:rsidRDefault="00960C70" w:rsidP="00960C70">
            <w:pPr>
              <w:pStyle w:val="Bullet1"/>
              <w:rPr>
                <w:lang w:val="nl-BE"/>
              </w:rPr>
            </w:pPr>
            <w:r w:rsidRPr="00B70902">
              <w:rPr>
                <w:lang w:val="nl-BE"/>
              </w:rPr>
              <w:t xml:space="preserve">wanneer ze gebruik maken van een andere procedure dan de </w:t>
            </w:r>
            <w:r w:rsidR="00D84386">
              <w:rPr>
                <w:lang w:val="nl-BE"/>
              </w:rPr>
              <w:t>OPZB</w:t>
            </w:r>
            <w:r w:rsidRPr="00B70902">
              <w:rPr>
                <w:lang w:val="nl-BE"/>
              </w:rPr>
              <w:t xml:space="preserve"> of de </w:t>
            </w:r>
            <w:r w:rsidR="00D84386">
              <w:rPr>
                <w:lang w:val="nl-BE"/>
              </w:rPr>
              <w:t>OPZV</w:t>
            </w:r>
            <w:r w:rsidR="00B806D0">
              <w:rPr>
                <w:lang w:val="nl-BE"/>
              </w:rPr>
              <w:t>OM</w:t>
            </w:r>
            <w:r w:rsidRPr="00B70902">
              <w:rPr>
                <w:lang w:val="nl-BE"/>
              </w:rPr>
              <w:t xml:space="preserve"> en de opdrachtnemer een kmo blijkt te zijn in de zin van artikel 163, § 3, tweede lid.</w:t>
            </w:r>
          </w:p>
          <w:p w14:paraId="58FCBBB3" w14:textId="4103965E" w:rsidR="00B70902" w:rsidRPr="00B70902" w:rsidRDefault="00B70902" w:rsidP="00D574CF">
            <w:r w:rsidRPr="00B70902">
              <w:t>De verplichting is niet van toepassing in de volgende gevallen:</w:t>
            </w:r>
          </w:p>
          <w:p w14:paraId="707A51F5" w14:textId="40AA6F17" w:rsidR="00B70902" w:rsidRPr="00D0391E" w:rsidRDefault="00B70902" w:rsidP="00B70902">
            <w:pPr>
              <w:pStyle w:val="Bullet1"/>
              <w:rPr>
                <w:lang w:val="nl-BE"/>
              </w:rPr>
            </w:pPr>
            <w:r w:rsidRPr="00D0391E">
              <w:rPr>
                <w:lang w:val="nl-BE"/>
              </w:rPr>
              <w:t>overheidsopdrachten die zowel betrekking hebben</w:t>
            </w:r>
            <w:r w:rsidR="00D0391E" w:rsidRPr="00D0391E">
              <w:rPr>
                <w:lang w:val="nl-BE"/>
              </w:rPr>
              <w:t xml:space="preserve"> </w:t>
            </w:r>
            <w:r w:rsidRPr="00D0391E">
              <w:rPr>
                <w:lang w:val="nl-BE"/>
              </w:rPr>
              <w:t>op het financieren als op het uitvoeren van werken en, in</w:t>
            </w:r>
            <w:r w:rsidR="00D0391E" w:rsidRPr="00D0391E">
              <w:rPr>
                <w:lang w:val="nl-BE"/>
              </w:rPr>
              <w:t xml:space="preserve"> </w:t>
            </w:r>
            <w:r w:rsidRPr="00D0391E">
              <w:rPr>
                <w:lang w:val="nl-BE"/>
              </w:rPr>
              <w:t>voorkomend geval, op elke dienstverlening in dat verband;</w:t>
            </w:r>
          </w:p>
          <w:p w14:paraId="1FA718BF" w14:textId="598C6EB5" w:rsidR="00B70902" w:rsidRPr="00B70902" w:rsidRDefault="00B70902" w:rsidP="00B70902">
            <w:pPr>
              <w:pStyle w:val="Bullet1"/>
              <w:rPr>
                <w:lang w:val="nl-BE"/>
              </w:rPr>
            </w:pPr>
            <w:r w:rsidRPr="00B70902">
              <w:rPr>
                <w:lang w:val="nl-BE"/>
              </w:rPr>
              <w:t>leasing, huur of huurkoop;</w:t>
            </w:r>
          </w:p>
          <w:p w14:paraId="686D0ADC" w14:textId="33266F6F" w:rsidR="00B70902" w:rsidRPr="00B70902" w:rsidRDefault="00B70902" w:rsidP="00B70902">
            <w:pPr>
              <w:pStyle w:val="Bullet1"/>
              <w:rPr>
                <w:lang w:val="nl-BE"/>
              </w:rPr>
            </w:pPr>
            <w:r w:rsidRPr="00B70902">
              <w:rPr>
                <w:lang w:val="nl-BE"/>
              </w:rPr>
              <w:t>overheidsopdrachten voor verzekeringsdiensten;</w:t>
            </w:r>
          </w:p>
          <w:p w14:paraId="60F219EA" w14:textId="525FE9DA" w:rsidR="00B70902" w:rsidRPr="00D0391E" w:rsidRDefault="00B70902" w:rsidP="00B70902">
            <w:pPr>
              <w:pStyle w:val="Bullet1"/>
              <w:rPr>
                <w:lang w:val="nl-BE"/>
              </w:rPr>
            </w:pPr>
            <w:r w:rsidRPr="00D0391E">
              <w:rPr>
                <w:lang w:val="nl-BE"/>
              </w:rPr>
              <w:t>overheidsopdrachten gesloten op basis van een</w:t>
            </w:r>
            <w:r w:rsidR="00D0391E" w:rsidRPr="00D0391E">
              <w:rPr>
                <w:lang w:val="nl-BE"/>
              </w:rPr>
              <w:t xml:space="preserve"> </w:t>
            </w:r>
            <w:r w:rsidRPr="00D0391E">
              <w:rPr>
                <w:lang w:val="nl-BE"/>
              </w:rPr>
              <w:t>abonnement of overheidsopdrachten waarbij betaald</w:t>
            </w:r>
            <w:r w:rsidR="00D0391E" w:rsidRPr="00D0391E">
              <w:rPr>
                <w:lang w:val="nl-BE"/>
              </w:rPr>
              <w:t xml:space="preserve"> </w:t>
            </w:r>
            <w:r w:rsidRPr="00D0391E">
              <w:rPr>
                <w:lang w:val="nl-BE"/>
              </w:rPr>
              <w:t>wordt op basis van een periodiek verbruik;</w:t>
            </w:r>
          </w:p>
          <w:p w14:paraId="77368A80" w14:textId="21EA8551" w:rsidR="00B70902" w:rsidRDefault="00B70902" w:rsidP="00D0391E">
            <w:pPr>
              <w:pStyle w:val="Bullet1"/>
              <w:rPr>
                <w:lang w:val="nl-BE"/>
              </w:rPr>
            </w:pPr>
            <w:r w:rsidRPr="00345B25">
              <w:rPr>
                <w:lang w:val="nl-BE"/>
              </w:rPr>
              <w:t>de overheidsopdrachten met een uitvoeringstermijn</w:t>
            </w:r>
            <w:r w:rsidR="00D0391E" w:rsidRPr="00345B25">
              <w:rPr>
                <w:lang w:val="nl-BE"/>
              </w:rPr>
              <w:t xml:space="preserve"> </w:t>
            </w:r>
            <w:r w:rsidRPr="00345B25">
              <w:rPr>
                <w:lang w:val="nl-BE"/>
              </w:rPr>
              <w:t>die korter is dan twee maanden.</w:t>
            </w:r>
          </w:p>
          <w:p w14:paraId="3A7257C6" w14:textId="66C0D465" w:rsidR="00345B25" w:rsidRDefault="00345B25" w:rsidP="009528C8">
            <w:r>
              <w:t>In het geval van de OPZB of OPZ</w:t>
            </w:r>
            <w:r w:rsidR="00B806D0">
              <w:t>V</w:t>
            </w:r>
            <w:r>
              <w:t>O</w:t>
            </w:r>
            <w:r w:rsidR="004F0449">
              <w:t>M</w:t>
            </w:r>
            <w:r w:rsidR="009528C8">
              <w:t xml:space="preserve"> bedraagt het voorschot vijftien procent. De aanbesteder kan een hoger percentage bepalen, zonder dat dit evenwel hoger mag zijn dan twintig procent. De aanbesteder neemt in dat</w:t>
            </w:r>
            <w:r w:rsidR="00FE31C6">
              <w:t xml:space="preserve"> </w:t>
            </w:r>
            <w:r w:rsidR="009528C8">
              <w:t xml:space="preserve">geval de </w:t>
            </w:r>
            <w:r w:rsidR="00FE31C6">
              <w:t xml:space="preserve">specifieke </w:t>
            </w:r>
            <w:r w:rsidR="009528C8">
              <w:t>modaliteiten op in de</w:t>
            </w:r>
            <w:r w:rsidR="00FE31C6">
              <w:t xml:space="preserve"> </w:t>
            </w:r>
            <w:r w:rsidR="009528C8">
              <w:t>opdrachtdocumenten.</w:t>
            </w:r>
          </w:p>
          <w:p w14:paraId="09F9B219" w14:textId="1FE744E8" w:rsidR="00751E71" w:rsidRDefault="00751E71" w:rsidP="009528C8">
            <w:r>
              <w:t>Bij het gebruik van andere procedures bedraagt het voorschot</w:t>
            </w:r>
          </w:p>
          <w:p w14:paraId="57C1CDFD" w14:textId="1FE7EAB8" w:rsidR="007507C1" w:rsidRDefault="006F413E" w:rsidP="007507C1">
            <w:pPr>
              <w:pStyle w:val="Bullet1"/>
              <w:rPr>
                <w:lang w:val="nl-BE"/>
              </w:rPr>
            </w:pPr>
            <w:r w:rsidRPr="00D574CF">
              <w:rPr>
                <w:lang w:val="nl-BE"/>
              </w:rPr>
              <w:t>twintig procent indien de opdrachtnemer een micro-onderneming is</w:t>
            </w:r>
            <w:r>
              <w:rPr>
                <w:lang w:val="nl-BE"/>
              </w:rPr>
              <w:t>;</w:t>
            </w:r>
          </w:p>
          <w:p w14:paraId="28B79B3D" w14:textId="03294B20" w:rsidR="006F413E" w:rsidRDefault="00F07445" w:rsidP="00F07445">
            <w:pPr>
              <w:pStyle w:val="Bullet1"/>
              <w:rPr>
                <w:lang w:val="nl-BE"/>
              </w:rPr>
            </w:pPr>
            <w:r w:rsidRPr="00D574CF">
              <w:rPr>
                <w:lang w:val="nl-BE"/>
              </w:rPr>
              <w:t xml:space="preserve">tien procent indien de opdrachtnemer een kleine onderneming is, </w:t>
            </w:r>
            <w:r w:rsidRPr="00F07445">
              <w:rPr>
                <w:lang w:val="nl-BE"/>
              </w:rPr>
              <w:t>tenzij de opdrachtdocumenten een hoger percentage bepalen, maar zonder dat dit percentage hoger mag liggen dan twintig procent</w:t>
            </w:r>
            <w:r>
              <w:rPr>
                <w:lang w:val="nl-BE"/>
              </w:rPr>
              <w:t>;</w:t>
            </w:r>
          </w:p>
          <w:p w14:paraId="0DA84AF8" w14:textId="37218706" w:rsidR="00F07445" w:rsidRDefault="00F07445" w:rsidP="00F07445">
            <w:pPr>
              <w:pStyle w:val="Bullet1"/>
              <w:rPr>
                <w:lang w:val="nl-BE"/>
              </w:rPr>
            </w:pPr>
            <w:r>
              <w:rPr>
                <w:lang w:val="nl-BE"/>
              </w:rPr>
              <w:t>vijf procent indien de opdrachtnemer een middelgrote ondern</w:t>
            </w:r>
            <w:r w:rsidR="006D7009">
              <w:rPr>
                <w:lang w:val="nl-BE"/>
              </w:rPr>
              <w:t xml:space="preserve">eming is, </w:t>
            </w:r>
            <w:r w:rsidR="006D7009" w:rsidRPr="006D7009">
              <w:rPr>
                <w:lang w:val="nl-BE"/>
              </w:rPr>
              <w:t>tenzij de opdrachtdocumenten een hoger percentage bepalen, maar zonder dat dit percentage hoger mag liggen dan twintig procent</w:t>
            </w:r>
            <w:r w:rsidR="006D7009">
              <w:rPr>
                <w:lang w:val="nl-BE"/>
              </w:rPr>
              <w:t xml:space="preserve">. </w:t>
            </w:r>
          </w:p>
          <w:p w14:paraId="309A6A5E" w14:textId="2642C631" w:rsidR="00CA33EE" w:rsidRDefault="00CA33EE" w:rsidP="00CA33EE">
            <w:r>
              <w:t>De wetgeving voorziet volgende uitzonderingen:</w:t>
            </w:r>
          </w:p>
          <w:p w14:paraId="6F9CD255" w14:textId="22DC82C0" w:rsidR="00C61A8F" w:rsidRPr="00491CAF" w:rsidRDefault="00491CAF" w:rsidP="00C61A8F">
            <w:pPr>
              <w:pStyle w:val="Bullet1"/>
              <w:rPr>
                <w:lang w:val="nl-BE"/>
              </w:rPr>
            </w:pPr>
            <w:r>
              <w:rPr>
                <w:lang w:val="nl-BE"/>
              </w:rPr>
              <w:t>d</w:t>
            </w:r>
            <w:r w:rsidR="00345B18" w:rsidRPr="00D574CF">
              <w:rPr>
                <w:lang w:val="nl-BE"/>
              </w:rPr>
              <w:t>e Koning kan voorzien in gevallen</w:t>
            </w:r>
            <w:r w:rsidR="00345B18" w:rsidRPr="00C61A8F">
              <w:rPr>
                <w:lang w:val="nl-BE"/>
              </w:rPr>
              <w:t xml:space="preserve"> </w:t>
            </w:r>
            <w:r w:rsidR="00345B18" w:rsidRPr="00D574CF">
              <w:rPr>
                <w:lang w:val="nl-BE"/>
              </w:rPr>
              <w:t>waarin, omwille van uitzonderlijke</w:t>
            </w:r>
            <w:r w:rsidR="00C61A8F" w:rsidRPr="00C61A8F">
              <w:rPr>
                <w:lang w:val="nl-BE"/>
              </w:rPr>
              <w:t xml:space="preserve"> </w:t>
            </w:r>
            <w:r w:rsidR="00345B18" w:rsidRPr="00D574CF">
              <w:rPr>
                <w:lang w:val="nl-BE"/>
              </w:rPr>
              <w:t>economische omstandigheden, voorschotten kunnen</w:t>
            </w:r>
            <w:r w:rsidR="00C61A8F" w:rsidRPr="00D574CF">
              <w:rPr>
                <w:lang w:val="nl-BE"/>
              </w:rPr>
              <w:t xml:space="preserve"> </w:t>
            </w:r>
            <w:r w:rsidR="00345B18" w:rsidRPr="00D574CF">
              <w:rPr>
                <w:lang w:val="nl-BE"/>
              </w:rPr>
              <w:t>of moeten worden verleend</w:t>
            </w:r>
            <w:r w:rsidR="003D62E3">
              <w:rPr>
                <w:lang w:val="nl-BE"/>
              </w:rPr>
              <w:t>;</w:t>
            </w:r>
          </w:p>
          <w:p w14:paraId="51D21825" w14:textId="07EA0C8E" w:rsidR="0030353A" w:rsidRDefault="00423027" w:rsidP="00C61A8F">
            <w:pPr>
              <w:pStyle w:val="Bullet1"/>
              <w:rPr>
                <w:lang w:val="nl-BE"/>
              </w:rPr>
            </w:pPr>
            <w:r>
              <w:rPr>
                <w:lang w:val="nl-BE"/>
              </w:rPr>
              <w:t>e</w:t>
            </w:r>
            <w:r w:rsidR="00C61A8F">
              <w:rPr>
                <w:lang w:val="nl-BE"/>
              </w:rPr>
              <w:t>en aantal</w:t>
            </w:r>
            <w:r w:rsidR="00491CAF">
              <w:rPr>
                <w:lang w:val="nl-BE"/>
              </w:rPr>
              <w:t xml:space="preserve"> reeds</w:t>
            </w:r>
            <w:r>
              <w:rPr>
                <w:lang w:val="nl-BE"/>
              </w:rPr>
              <w:t xml:space="preserve"> bestaande</w:t>
            </w:r>
            <w:r w:rsidR="00C61A8F">
              <w:rPr>
                <w:lang w:val="nl-BE"/>
              </w:rPr>
              <w:t xml:space="preserve"> gevallen waarin aanbesteders een voorschot hoger dan twintig procent mogen toekennen. </w:t>
            </w:r>
            <w:r w:rsidR="00B806D0">
              <w:rPr>
                <w:lang w:val="nl-BE"/>
              </w:rPr>
              <w:t xml:space="preserve">Het betreft de gevallen </w:t>
            </w:r>
            <w:r w:rsidR="003D450D">
              <w:rPr>
                <w:lang w:val="nl-BE"/>
              </w:rPr>
              <w:t>aanwezig in artikel 67 van het KB AUR.</w:t>
            </w:r>
          </w:p>
          <w:p w14:paraId="587DA821" w14:textId="6A7E68B0" w:rsidR="00345B18" w:rsidRDefault="0030353A" w:rsidP="0030353A">
            <w:r>
              <w:t xml:space="preserve">Indien de looptijd van de opdracht twaalf maanden of minder bedraagt, is de referentiewaarde die van belang is voor de berekening van het voorschot gelijk aan het oorspronkelijke bedrag van de opdracht, inclusief alle </w:t>
            </w:r>
            <w:r w:rsidRPr="00D1546F">
              <w:t>belastingen</w:t>
            </w:r>
            <w:r w:rsidR="004C777D" w:rsidRPr="00D1546F">
              <w:t xml:space="preserve"> – zie de wetgeving voor de referentiewaarde bij andere situaties</w:t>
            </w:r>
            <w:r w:rsidRPr="00D1546F">
              <w:t>.</w:t>
            </w:r>
          </w:p>
          <w:p w14:paraId="231A8485" w14:textId="1C99C82B" w:rsidR="00CC1CEA" w:rsidRDefault="00CC1CEA" w:rsidP="00CC1CEA">
            <w:r>
              <w:lastRenderedPageBreak/>
              <w:t>Indien een voorschot wordt toegekend en de betreffende overheidsopdracht kadert binnen een project waarvoor een toelating vereist is, kan de aanbesteder de toekenning van het voorschot afhankelijk maken van het verkrijgen van deze toelating, door middel van een bepaling in die zin in de opdrachtdocumenten.</w:t>
            </w:r>
          </w:p>
          <w:p w14:paraId="299CE7C2" w14:textId="2DB83284" w:rsidR="00D509B7" w:rsidRDefault="00CC1CEA" w:rsidP="00CC1CEA">
            <w:r>
              <w:t>In het kader van de voorschotten wordt een raamovereenkomst niet als een overheidsopdracht beschouwd, maar wordt de opdracht gebaseerd op een raamovereenkomst wel als een overheidsopdracht beschouwd.</w:t>
            </w:r>
          </w:p>
          <w:p w14:paraId="3C4295C7" w14:textId="6ED0BED3" w:rsidR="00177889" w:rsidRDefault="00556F75" w:rsidP="002E6866">
            <w:r>
              <w:t xml:space="preserve">De terugbetaling van het </w:t>
            </w:r>
            <w:r w:rsidR="00F92BCD">
              <w:t xml:space="preserve">toegekende </w:t>
            </w:r>
            <w:r>
              <w:t>voorschot wordt verrekend met de bedragen die verschuldigd zijn aan de opdrachtnemer, volgens het ritme en de modaliteiten als voorzien in de opdrachtdocumenten. In afwezigheid van een bepaling in de opdrachtdocumenten in die zin, wordt de terugbetaling</w:t>
            </w:r>
            <w:r w:rsidR="002E6866">
              <w:t xml:space="preserve"> </w:t>
            </w:r>
            <w:r>
              <w:t>van de eerste helft van het voorschot verrekend wanneer</w:t>
            </w:r>
            <w:r w:rsidR="002E6866">
              <w:t xml:space="preserve"> </w:t>
            </w:r>
            <w:r>
              <w:t>de waarde van de uitgevoerde prestaties dertig</w:t>
            </w:r>
            <w:r w:rsidR="002E6866">
              <w:t xml:space="preserve"> </w:t>
            </w:r>
            <w:r>
              <w:t>procent van het oorspronkelijke opdrachtbedrag bereikt</w:t>
            </w:r>
            <w:r w:rsidR="002E6866">
              <w:t xml:space="preserve"> </w:t>
            </w:r>
            <w:r>
              <w:t>en wordt de terugbetaling van de tweede helft van het</w:t>
            </w:r>
            <w:r w:rsidR="002E6866">
              <w:t xml:space="preserve"> </w:t>
            </w:r>
            <w:r>
              <w:t>voorschot verrekend wanneer de waarde van de</w:t>
            </w:r>
            <w:r w:rsidR="002E6866">
              <w:t xml:space="preserve"> </w:t>
            </w:r>
            <w:r>
              <w:t>uitgevoerde prestaties zestig procent van het oorspronkelijke</w:t>
            </w:r>
            <w:r w:rsidR="002E6866">
              <w:t xml:space="preserve"> </w:t>
            </w:r>
            <w:r>
              <w:t>opdrachtbedrag bereikt.</w:t>
            </w:r>
          </w:p>
          <w:p w14:paraId="5438B20E" w14:textId="77777777" w:rsidR="00002CFA" w:rsidRDefault="00177889" w:rsidP="00BD6228">
            <w:r>
              <w:t xml:space="preserve">Tot slot, </w:t>
            </w:r>
            <w:r w:rsidR="00556F75">
              <w:t xml:space="preserve"> </w:t>
            </w:r>
            <w:r>
              <w:t xml:space="preserve">ondernemers moeten </w:t>
            </w:r>
            <w:r w:rsidRPr="00177889">
              <w:t xml:space="preserve">voor de uitbetaling van dit voorschot nog steeds een aanvraag indienen, maar </w:t>
            </w:r>
            <w:r w:rsidR="00BD6228">
              <w:t xml:space="preserve">zij </w:t>
            </w:r>
            <w:r w:rsidRPr="00177889">
              <w:t>hoeven deze aanvraag niet langer te ondertekenen.</w:t>
            </w:r>
          </w:p>
          <w:p w14:paraId="0D54867F" w14:textId="421F7F6A" w:rsidR="0009622B" w:rsidRPr="00CA7A8C" w:rsidRDefault="0009622B" w:rsidP="00BD6228">
            <w:r w:rsidRPr="00CA7A8C">
              <w:rPr>
                <w:i/>
                <w:iCs/>
              </w:rPr>
              <w:t>Dit deel van het charter wordt door de FOD Economie van een update voorzien van zodra nieuwe informatie beschikbaar is en/of nieuwe wetgeving gepubliceerd werd in het Belgisch Staatsblad</w:t>
            </w:r>
            <w:r w:rsidR="003F4813">
              <w:rPr>
                <w:i/>
                <w:iCs/>
              </w:rPr>
              <w:t xml:space="preserve">. </w:t>
            </w:r>
          </w:p>
        </w:tc>
      </w:tr>
    </w:tbl>
    <w:p w14:paraId="04798E9B" w14:textId="3016469F" w:rsidR="00B83C7C" w:rsidRPr="003D23A5" w:rsidRDefault="00E33FCF" w:rsidP="00B83C7C">
      <w:pPr>
        <w:pStyle w:val="Kop4"/>
        <w:rPr>
          <w:lang w:val="nl-BE"/>
        </w:rPr>
      </w:pPr>
      <w:r w:rsidRPr="003D23A5">
        <w:rPr>
          <w:lang w:val="nl-BE"/>
        </w:rPr>
        <w:lastRenderedPageBreak/>
        <w:t>De b</w:t>
      </w:r>
      <w:r w:rsidR="00B83C7C" w:rsidRPr="003D23A5">
        <w:rPr>
          <w:lang w:val="nl-BE"/>
        </w:rPr>
        <w:t>iedvergoeding</w:t>
      </w:r>
    </w:p>
    <w:tbl>
      <w:tblPr>
        <w:tblStyle w:val="Tabelraster"/>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DD4D8F" w:rsidRPr="003D23A5" w14:paraId="39ECB678" w14:textId="77777777" w:rsidTr="00C65586">
        <w:tc>
          <w:tcPr>
            <w:tcW w:w="5000" w:type="pct"/>
            <w:shd w:val="clear" w:color="auto" w:fill="FFF2CC" w:themeFill="accent4" w:themeFillTint="33"/>
          </w:tcPr>
          <w:p w14:paraId="61CE1446" w14:textId="77777777" w:rsidR="00DD4D8F" w:rsidRPr="003D23A5" w:rsidRDefault="00DD4D8F" w:rsidP="00C65586">
            <w:pPr>
              <w:rPr>
                <w:b/>
                <w:bCs/>
                <w:i/>
                <w:iCs/>
              </w:rPr>
            </w:pPr>
            <w:r w:rsidRPr="003D23A5">
              <w:rPr>
                <w:b/>
                <w:bCs/>
                <w:i/>
                <w:iCs/>
              </w:rPr>
              <w:t>Toekomstig recht</w:t>
            </w:r>
          </w:p>
        </w:tc>
      </w:tr>
      <w:tr w:rsidR="00DD4D8F" w:rsidRPr="003D23A5" w14:paraId="5328D808" w14:textId="77777777" w:rsidTr="0041436E">
        <w:trPr>
          <w:trHeight w:val="845"/>
        </w:trPr>
        <w:tc>
          <w:tcPr>
            <w:tcW w:w="5000" w:type="pct"/>
            <w:shd w:val="clear" w:color="auto" w:fill="FFF2CC" w:themeFill="accent4" w:themeFillTint="33"/>
          </w:tcPr>
          <w:p w14:paraId="544FDFE0" w14:textId="56ED6426" w:rsidR="00DD4D8F" w:rsidRPr="003D23A5" w:rsidRDefault="00DD4D8F" w:rsidP="00DD4D8F">
            <w:r w:rsidRPr="003D23A5">
              <w:t xml:space="preserve">Via een update van de wet overheidsopdrachten wordt voorzien in een nieuw wetgevend kader over de “biedvergoeding”. De publicatie van de nieuwe wetgeving staat momenteel gepland voor </w:t>
            </w:r>
            <w:r w:rsidR="0011004D" w:rsidRPr="003D23A5">
              <w:t>eind 2023, begin</w:t>
            </w:r>
            <w:r w:rsidRPr="003D23A5">
              <w:t xml:space="preserve"> 2024.</w:t>
            </w:r>
          </w:p>
          <w:p w14:paraId="66BDC83B" w14:textId="046F2172" w:rsidR="002B53C0" w:rsidRPr="003D23A5" w:rsidRDefault="00394405" w:rsidP="002B53C0">
            <w:r w:rsidRPr="003D23A5">
              <w:t>De nieuwe wetgeving stelt dat</w:t>
            </w:r>
            <w:r w:rsidR="002B53C0" w:rsidRPr="003D23A5">
              <w:t xml:space="preserve"> de aanbesteder, via een bepaling in die zin in de opdrachtdocumenten, kan eisen dat de offertes vergezeld gaan van monsters, maquettes, prototypes, tekeningen, andere grafische ontwerpen of enig ander ontwerp in de domeinen van de plastische kunsten, de muzikale kunsten, de cinematografische kunsten of de podiumkunsten.</w:t>
            </w:r>
          </w:p>
          <w:p w14:paraId="7F0C9AE2" w14:textId="727A6A30" w:rsidR="002B141A" w:rsidRPr="003D23A5" w:rsidRDefault="002B53C0" w:rsidP="002B53C0">
            <w:r w:rsidRPr="003D23A5">
              <w:t xml:space="preserve">In die gevallen voorziet de aanbesteder in de betaling van een biedvergoeding. De aanbesteder kan in de opdrachtdocumenten voorzien dat geen biedvergoeding wordt toegekend, of slechts een verminderde vergoeding, voor de inschrijvers die een substantieel onregelmatige of onaanvaardbare offerte hebben ingediend. </w:t>
            </w:r>
          </w:p>
          <w:p w14:paraId="625B164B" w14:textId="62F24E21" w:rsidR="00394405" w:rsidRPr="003D23A5" w:rsidRDefault="002B53C0" w:rsidP="002B53C0">
            <w:r w:rsidRPr="003D23A5">
              <w:t>Deze verplichting geldt niet in de gevallen waarbij de aanbesteder gebruik maakt van de openbare procedure of van de vereenvoudigde onderhandelingsprocedure met voorafgaande bekendmaking of oproep tot mededinging.</w:t>
            </w:r>
            <w:r w:rsidR="008B34E6" w:rsidRPr="003D23A5">
              <w:t xml:space="preserve"> Ze is ook niet van toepassing indien de aanbesteder voorziet in prijzengeld of vergoedingen aan de deelnemers van een concurrentiegerichte dialoog, en evenmin indien soortgelijke vergoedingen worden toegekend in het kader van een prijsvraag.</w:t>
            </w:r>
          </w:p>
          <w:p w14:paraId="6C02A6FC" w14:textId="77BB15FA" w:rsidR="009478D1" w:rsidRPr="003D23A5" w:rsidRDefault="00E0734D" w:rsidP="009478D1">
            <w:r w:rsidRPr="003D23A5">
              <w:t xml:space="preserve">Het bedrag van de biedvergoeding wordt door de aanbesteder bepaald en </w:t>
            </w:r>
            <w:r w:rsidR="007E66BF" w:rsidRPr="003D23A5">
              <w:t xml:space="preserve">vermeld </w:t>
            </w:r>
            <w:r w:rsidRPr="003D23A5">
              <w:t>in de opdrachtdocumenten.</w:t>
            </w:r>
            <w:r w:rsidR="007E66BF" w:rsidRPr="003D23A5">
              <w:t xml:space="preserve"> </w:t>
            </w:r>
            <w:r w:rsidR="009478D1" w:rsidRPr="003D23A5">
              <w:t xml:space="preserve">De biedvergoeding wordt niet toegekend aan de opdrachtnemer. </w:t>
            </w:r>
          </w:p>
          <w:p w14:paraId="79A2D9D7" w14:textId="77777777" w:rsidR="007D6245" w:rsidRPr="003D23A5" w:rsidRDefault="009478D1" w:rsidP="009478D1">
            <w:r w:rsidRPr="003D23A5">
              <w:t>Indien de aanbesteder toepassing maakt van artikel 85</w:t>
            </w:r>
            <w:r w:rsidR="006D7935" w:rsidRPr="003D23A5">
              <w:t xml:space="preserve"> (inzake de niet-gunning)</w:t>
            </w:r>
            <w:r w:rsidRPr="003D23A5">
              <w:t>, tweede zin, blijft de biedvergoeding verschuldigd, voor zover offertes werden ingediend en aan alle overige voorwaarden van deze bepaling voldaan is.</w:t>
            </w:r>
          </w:p>
          <w:p w14:paraId="6CBABE71" w14:textId="6FEC2364" w:rsidR="0009622B" w:rsidRPr="003D23A5" w:rsidRDefault="0009622B" w:rsidP="009478D1">
            <w:r w:rsidRPr="003D23A5">
              <w:rPr>
                <w:i/>
                <w:iCs/>
              </w:rPr>
              <w:t>Dit deel van het charter wordt door de FOD Economie van een update voorzien van zodra nieuwe informatie beschikbaar is en/of nieuwe wetgeving gepubliceerd werd in het Belgisch Staatsblad</w:t>
            </w:r>
            <w:r w:rsidR="003F4813" w:rsidRPr="003D23A5">
              <w:rPr>
                <w:i/>
                <w:iCs/>
              </w:rPr>
              <w:t>.</w:t>
            </w:r>
          </w:p>
        </w:tc>
      </w:tr>
    </w:tbl>
    <w:p w14:paraId="2AFA8496" w14:textId="651ACFA7" w:rsidR="00EC0469" w:rsidRDefault="00EC0469" w:rsidP="00EC0469">
      <w:pPr>
        <w:pStyle w:val="Kop4"/>
        <w:rPr>
          <w:lang w:val="nl-BE"/>
        </w:rPr>
      </w:pPr>
      <w:r w:rsidRPr="003D23A5">
        <w:rPr>
          <w:lang w:val="nl-BE"/>
        </w:rPr>
        <w:t>Beta</w:t>
      </w:r>
      <w:r w:rsidR="00D82FF0" w:rsidRPr="003D23A5">
        <w:rPr>
          <w:lang w:val="nl-BE"/>
        </w:rPr>
        <w:t>al</w:t>
      </w:r>
      <w:r w:rsidRPr="003D23A5">
        <w:rPr>
          <w:lang w:val="nl-BE"/>
        </w:rPr>
        <w:t>termijnen</w:t>
      </w:r>
    </w:p>
    <w:tbl>
      <w:tblPr>
        <w:tblStyle w:val="Tabelraster"/>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EA3296" w:rsidRPr="00CB7F27" w14:paraId="3202C6F4" w14:textId="77777777">
        <w:tc>
          <w:tcPr>
            <w:tcW w:w="5000" w:type="pct"/>
            <w:shd w:val="clear" w:color="auto" w:fill="FFF2CC" w:themeFill="accent4" w:themeFillTint="33"/>
          </w:tcPr>
          <w:p w14:paraId="64E7F730" w14:textId="77777777" w:rsidR="00EA3296" w:rsidRPr="00CB7F27" w:rsidRDefault="00EA3296">
            <w:pPr>
              <w:rPr>
                <w:b/>
                <w:bCs/>
                <w:i/>
                <w:iCs/>
              </w:rPr>
            </w:pPr>
            <w:r w:rsidRPr="008B55A0">
              <w:rPr>
                <w:b/>
                <w:bCs/>
                <w:i/>
                <w:iCs/>
              </w:rPr>
              <w:t>Toekomstig recht</w:t>
            </w:r>
          </w:p>
        </w:tc>
      </w:tr>
      <w:tr w:rsidR="00EA3296" w:rsidRPr="00CA7A8C" w14:paraId="1C087342" w14:textId="77777777">
        <w:trPr>
          <w:trHeight w:val="845"/>
        </w:trPr>
        <w:tc>
          <w:tcPr>
            <w:tcW w:w="5000" w:type="pct"/>
            <w:shd w:val="clear" w:color="auto" w:fill="FFF2CC" w:themeFill="accent4" w:themeFillTint="33"/>
          </w:tcPr>
          <w:p w14:paraId="191AFC6A" w14:textId="15F0C20D" w:rsidR="00EA3296" w:rsidRDefault="0037413A">
            <w:r>
              <w:lastRenderedPageBreak/>
              <w:t xml:space="preserve">De wetgeving inzake betaaltermijnen bij overheidsopdrachten </w:t>
            </w:r>
            <w:r w:rsidR="003D4BC7">
              <w:t xml:space="preserve">vormt momenteel onderwerp </w:t>
            </w:r>
            <w:r w:rsidR="004C06EE">
              <w:t xml:space="preserve">van </w:t>
            </w:r>
            <w:r w:rsidR="007E273C">
              <w:t>discussie</w:t>
            </w:r>
            <w:r w:rsidR="0070057C">
              <w:t xml:space="preserve"> </w:t>
            </w:r>
            <w:r w:rsidR="00BB5B63">
              <w:t xml:space="preserve">en zal van een update voorzien worden. Die update </w:t>
            </w:r>
            <w:r w:rsidR="00AD14D1">
              <w:t>staat</w:t>
            </w:r>
            <w:r w:rsidR="004D346B">
              <w:t xml:space="preserve"> gepland voor de eerste helft van 2024.</w:t>
            </w:r>
          </w:p>
          <w:p w14:paraId="63D1FBC7" w14:textId="1E3F76E8" w:rsidR="004D346B" w:rsidRDefault="004D346B">
            <w:r>
              <w:t xml:space="preserve">In afwachting van die update worden </w:t>
            </w:r>
            <w:r w:rsidR="00C3620C">
              <w:t xml:space="preserve">op het einde van dit principe nog drie richtlijnen </w:t>
            </w:r>
            <w:r>
              <w:t>meegegeven aan de federale aanbesteder</w:t>
            </w:r>
            <w:r w:rsidR="00734782">
              <w:t>.</w:t>
            </w:r>
          </w:p>
          <w:p w14:paraId="75676E89" w14:textId="0F99C4AE" w:rsidR="00EA3296" w:rsidRPr="00CA7A8C" w:rsidRDefault="00EA3296">
            <w:r w:rsidRPr="00CA7A8C">
              <w:rPr>
                <w:i/>
                <w:iCs/>
              </w:rPr>
              <w:t>Dit deel van het charter wordt door de FOD Economie van een update voorzien van zodra nieuwe informatie beschikbaar is en/of nieuwe wetgeving gepubliceerd werd in het Belgisch Staatsblad</w:t>
            </w:r>
            <w:r>
              <w:rPr>
                <w:i/>
                <w:iCs/>
              </w:rPr>
              <w:t>.</w:t>
            </w:r>
          </w:p>
        </w:tc>
      </w:tr>
    </w:tbl>
    <w:p w14:paraId="3C787B7D" w14:textId="2E8B2062" w:rsidR="00EC0469" w:rsidRPr="001C306D" w:rsidRDefault="00EC0469" w:rsidP="00EC0469">
      <w:pPr>
        <w:pStyle w:val="Kop4"/>
        <w:rPr>
          <w:lang w:val="nl-BE"/>
        </w:rPr>
      </w:pPr>
      <w:r w:rsidRPr="001C306D">
        <w:rPr>
          <w:lang w:val="nl-BE"/>
        </w:rPr>
        <w:t>Prijsherzieningsclausule</w:t>
      </w:r>
      <w:r w:rsidR="00092157">
        <w:rPr>
          <w:lang w:val="nl-BE"/>
        </w:rPr>
        <w:t>s</w:t>
      </w:r>
      <w:r w:rsidRPr="001C306D">
        <w:rPr>
          <w:lang w:val="nl-BE"/>
        </w:rPr>
        <w:t xml:space="preserve"> </w:t>
      </w:r>
    </w:p>
    <w:p w14:paraId="44DE559D" w14:textId="0FBD8343" w:rsidR="008C4A5F" w:rsidRDefault="008F087B" w:rsidP="00C75679">
      <w:pPr>
        <w:rPr>
          <w:rStyle w:val="eop"/>
          <w:lang w:val="nl-NL"/>
        </w:rPr>
      </w:pPr>
      <w:r>
        <w:rPr>
          <w:rStyle w:val="eop"/>
          <w:lang w:val="nl-NL"/>
        </w:rPr>
        <w:t xml:space="preserve">Artikel 38 van het </w:t>
      </w:r>
      <w:r w:rsidR="006C37EF">
        <w:rPr>
          <w:rStyle w:val="eop"/>
          <w:lang w:val="nl-NL"/>
        </w:rPr>
        <w:t>KB</w:t>
      </w:r>
      <w:r>
        <w:rPr>
          <w:rStyle w:val="eop"/>
          <w:lang w:val="nl-NL"/>
        </w:rPr>
        <w:t xml:space="preserve"> van 14 januari 2013 stelt dat e</w:t>
      </w:r>
      <w:r w:rsidR="008C4A5F" w:rsidRPr="003D534F">
        <w:rPr>
          <w:rStyle w:val="eop"/>
          <w:lang w:val="nl-NL"/>
        </w:rPr>
        <w:t>en wijziging</w:t>
      </w:r>
      <w:r w:rsidR="008C4A5F">
        <w:rPr>
          <w:rStyle w:val="eop"/>
          <w:lang w:val="nl-NL"/>
        </w:rPr>
        <w:t xml:space="preserve"> aan de opdracht</w:t>
      </w:r>
      <w:r w:rsidR="008C4A5F" w:rsidRPr="003D534F">
        <w:rPr>
          <w:rStyle w:val="eop"/>
          <w:lang w:val="nl-NL"/>
        </w:rPr>
        <w:t xml:space="preserve"> </w:t>
      </w:r>
      <w:r w:rsidR="008C4A5F">
        <w:rPr>
          <w:rStyle w:val="eop"/>
          <w:lang w:val="nl-NL"/>
        </w:rPr>
        <w:t xml:space="preserve">kan en </w:t>
      </w:r>
      <w:r w:rsidR="008C4A5F" w:rsidRPr="003D534F">
        <w:rPr>
          <w:rStyle w:val="eop"/>
          <w:lang w:val="nl-NL"/>
        </w:rPr>
        <w:t xml:space="preserve">mag </w:t>
      </w:r>
      <w:r w:rsidR="00C27A91" w:rsidRPr="003D534F">
        <w:rPr>
          <w:rStyle w:val="eop"/>
          <w:lang w:val="nl-NL"/>
        </w:rPr>
        <w:t xml:space="preserve">worden aangebracht </w:t>
      </w:r>
      <w:r w:rsidR="008C4A5F" w:rsidRPr="003D534F">
        <w:rPr>
          <w:rStyle w:val="eop"/>
          <w:lang w:val="nl-NL"/>
        </w:rPr>
        <w:t>zonder nieuwe plaatsingsprocedure, wanneer d</w:t>
      </w:r>
      <w:r w:rsidR="008C4A5F">
        <w:rPr>
          <w:rStyle w:val="eop"/>
          <w:lang w:val="nl-NL"/>
        </w:rPr>
        <w:t>i</w:t>
      </w:r>
      <w:r w:rsidR="008C4A5F" w:rsidRPr="003D534F">
        <w:rPr>
          <w:rStyle w:val="eop"/>
          <w:lang w:val="nl-NL"/>
        </w:rPr>
        <w:t>e wijziging</w:t>
      </w:r>
      <w:r w:rsidR="00385017">
        <w:rPr>
          <w:rStyle w:val="eop"/>
          <w:lang w:val="nl-NL"/>
        </w:rPr>
        <w:t>,</w:t>
      </w:r>
      <w:r w:rsidR="008C4A5F" w:rsidRPr="003D534F">
        <w:rPr>
          <w:rStyle w:val="eop"/>
          <w:lang w:val="nl-NL"/>
        </w:rPr>
        <w:t xml:space="preserve"> ongeacht de geldelijke waarde ervan, in de oorspronkelijke opdrachtdocumenten was voorzien in een duidelijke, nauwkeurige en ondubbelzinnige herzieningsclausule. </w:t>
      </w:r>
    </w:p>
    <w:p w14:paraId="7F954471" w14:textId="77777777" w:rsidR="008C4A5F" w:rsidRDefault="008C4A5F" w:rsidP="00C75679">
      <w:pPr>
        <w:rPr>
          <w:rStyle w:val="eop"/>
          <w:lang w:val="nl-NL"/>
        </w:rPr>
      </w:pPr>
      <w:r w:rsidRPr="003D534F">
        <w:rPr>
          <w:rStyle w:val="eop"/>
          <w:lang w:val="nl-NL"/>
        </w:rPr>
        <w:t xml:space="preserve">De herzieningsclausules omschrijven het </w:t>
      </w:r>
      <w:r w:rsidRPr="003D534F">
        <w:rPr>
          <w:rStyle w:val="eop"/>
          <w:b/>
          <w:bCs/>
          <w:lang w:val="nl-NL"/>
        </w:rPr>
        <w:t>toepassingsgebied</w:t>
      </w:r>
      <w:r w:rsidRPr="003D534F">
        <w:rPr>
          <w:rStyle w:val="eop"/>
          <w:lang w:val="nl-NL"/>
        </w:rPr>
        <w:t xml:space="preserve"> en de </w:t>
      </w:r>
      <w:r w:rsidRPr="003D534F">
        <w:rPr>
          <w:rStyle w:val="eop"/>
          <w:b/>
          <w:bCs/>
          <w:lang w:val="nl-NL"/>
        </w:rPr>
        <w:t>aard</w:t>
      </w:r>
      <w:r w:rsidRPr="003D534F">
        <w:rPr>
          <w:rStyle w:val="eop"/>
          <w:lang w:val="nl-NL"/>
        </w:rPr>
        <w:t xml:space="preserve"> van de mogelijke wijzigingen alsmede de </w:t>
      </w:r>
      <w:r w:rsidRPr="003D534F">
        <w:rPr>
          <w:rStyle w:val="eop"/>
          <w:b/>
          <w:bCs/>
          <w:lang w:val="nl-NL"/>
        </w:rPr>
        <w:t>voorwaarden</w:t>
      </w:r>
      <w:r w:rsidRPr="003D534F">
        <w:rPr>
          <w:rStyle w:val="eop"/>
          <w:lang w:val="nl-NL"/>
        </w:rPr>
        <w:t xml:space="preserve"> waaronder deze kunnen worden gebruikt. </w:t>
      </w:r>
      <w:r w:rsidRPr="002C2BF2">
        <w:rPr>
          <w:rStyle w:val="eop"/>
          <w:lang w:val="nl-NL"/>
        </w:rPr>
        <w:t>Zij voorzien niet in wijzigingen die de algemene aard van de opdracht of raamovereenkomst kunnen veranderen</w:t>
      </w:r>
      <w:r w:rsidRPr="003D534F">
        <w:rPr>
          <w:rStyle w:val="eop"/>
          <w:lang w:val="nl-NL"/>
        </w:rPr>
        <w:t>.</w:t>
      </w:r>
    </w:p>
    <w:p w14:paraId="1C6F9578" w14:textId="524A4332" w:rsidR="008C4A5F" w:rsidRDefault="008C4A5F" w:rsidP="00C75679">
      <w:pPr>
        <w:rPr>
          <w:rStyle w:val="eop"/>
          <w:lang w:val="nl-NL"/>
        </w:rPr>
      </w:pPr>
      <w:r>
        <w:rPr>
          <w:rStyle w:val="eop"/>
          <w:lang w:val="nl-NL"/>
        </w:rPr>
        <w:t>Prijsherziening op grond van bepaalde sociale en economische factoren</w:t>
      </w:r>
      <w:r w:rsidR="00281470">
        <w:rPr>
          <w:rStyle w:val="eop"/>
          <w:lang w:val="nl-NL"/>
        </w:rPr>
        <w:t>,</w:t>
      </w:r>
      <w:r>
        <w:rPr>
          <w:rStyle w:val="eop"/>
          <w:lang w:val="nl-NL"/>
        </w:rPr>
        <w:t xml:space="preserve"> en op basis van een in de opdrachtdocumenten voorziene prijsherzieningsclausule, is één van de mogelijke toepassingen van het principe van de herzieningsclausules</w:t>
      </w:r>
      <w:r w:rsidR="00DC4F2D">
        <w:rPr>
          <w:rStyle w:val="eop"/>
          <w:lang w:val="nl-NL"/>
        </w:rPr>
        <w:t xml:space="preserve"> (cf. artikel 10 van de wet en artikel 38/7 van het voormelde </w:t>
      </w:r>
      <w:r w:rsidR="000C3DFC">
        <w:rPr>
          <w:rStyle w:val="eop"/>
          <w:lang w:val="nl-NL"/>
        </w:rPr>
        <w:t>KB</w:t>
      </w:r>
      <w:r w:rsidR="00DC4F2D">
        <w:rPr>
          <w:rStyle w:val="eop"/>
          <w:lang w:val="nl-NL"/>
        </w:rPr>
        <w:t>)</w:t>
      </w:r>
      <w:r>
        <w:rPr>
          <w:rStyle w:val="eop"/>
          <w:lang w:val="nl-NL"/>
        </w:rPr>
        <w:t xml:space="preserve">. </w:t>
      </w:r>
      <w:r w:rsidRPr="00831E56">
        <w:rPr>
          <w:rStyle w:val="eop"/>
          <w:lang w:val="nl-NL"/>
        </w:rPr>
        <w:t xml:space="preserve">Door middel van </w:t>
      </w:r>
      <w:r>
        <w:rPr>
          <w:rStyle w:val="eop"/>
          <w:lang w:val="nl-NL"/>
        </w:rPr>
        <w:t>e</w:t>
      </w:r>
      <w:r w:rsidRPr="00831E56">
        <w:rPr>
          <w:rStyle w:val="eop"/>
          <w:lang w:val="nl-NL"/>
        </w:rPr>
        <w:t>e</w:t>
      </w:r>
      <w:r>
        <w:rPr>
          <w:rStyle w:val="eop"/>
          <w:lang w:val="nl-NL"/>
        </w:rPr>
        <w:t>n</w:t>
      </w:r>
      <w:r w:rsidRPr="00831E56">
        <w:rPr>
          <w:rStyle w:val="eop"/>
          <w:lang w:val="nl-NL"/>
        </w:rPr>
        <w:t xml:space="preserve"> prijsherziening</w:t>
      </w:r>
      <w:r>
        <w:rPr>
          <w:rStyle w:val="eop"/>
          <w:lang w:val="nl-NL"/>
        </w:rPr>
        <w:t xml:space="preserve"> </w:t>
      </w:r>
      <w:r w:rsidRPr="00831E56">
        <w:rPr>
          <w:rStyle w:val="eop"/>
          <w:lang w:val="nl-NL"/>
        </w:rPr>
        <w:t>kan</w:t>
      </w:r>
      <w:r>
        <w:rPr>
          <w:rStyle w:val="eop"/>
          <w:lang w:val="nl-NL"/>
        </w:rPr>
        <w:t xml:space="preserve"> </w:t>
      </w:r>
      <w:r w:rsidRPr="00831E56">
        <w:rPr>
          <w:rStyle w:val="eop"/>
          <w:lang w:val="nl-NL"/>
        </w:rPr>
        <w:t>in zekere mate een mildering</w:t>
      </w:r>
      <w:r>
        <w:rPr>
          <w:rStyle w:val="eop"/>
          <w:lang w:val="nl-NL"/>
        </w:rPr>
        <w:t xml:space="preserve"> </w:t>
      </w:r>
      <w:r w:rsidRPr="00831E56">
        <w:rPr>
          <w:rStyle w:val="eop"/>
          <w:lang w:val="nl-NL"/>
        </w:rPr>
        <w:t>worden aangebracht aan het principe van de forfaitaire</w:t>
      </w:r>
      <w:r>
        <w:rPr>
          <w:rStyle w:val="eop"/>
          <w:lang w:val="nl-NL"/>
        </w:rPr>
        <w:t xml:space="preserve"> </w:t>
      </w:r>
      <w:r w:rsidRPr="00831E56">
        <w:rPr>
          <w:rStyle w:val="eop"/>
          <w:lang w:val="nl-NL"/>
        </w:rPr>
        <w:t xml:space="preserve">grondslag, zonder dat de prijsherziening als een uitzondering </w:t>
      </w:r>
      <w:r w:rsidR="005714AE">
        <w:rPr>
          <w:rStyle w:val="eop"/>
          <w:lang w:val="nl-NL"/>
        </w:rPr>
        <w:t>op</w:t>
      </w:r>
      <w:r w:rsidR="005714AE" w:rsidRPr="00831E56">
        <w:rPr>
          <w:rStyle w:val="eop"/>
          <w:lang w:val="nl-NL"/>
        </w:rPr>
        <w:t xml:space="preserve"> </w:t>
      </w:r>
      <w:r w:rsidRPr="00831E56">
        <w:rPr>
          <w:rStyle w:val="eop"/>
          <w:lang w:val="nl-NL"/>
        </w:rPr>
        <w:t>het principe van d</w:t>
      </w:r>
      <w:r>
        <w:rPr>
          <w:rStyle w:val="eop"/>
          <w:lang w:val="nl-NL"/>
        </w:rPr>
        <w:t>i</w:t>
      </w:r>
      <w:r w:rsidRPr="00831E56">
        <w:rPr>
          <w:rStyle w:val="eop"/>
          <w:lang w:val="nl-NL"/>
        </w:rPr>
        <w:t>e forfaitaire grondslag</w:t>
      </w:r>
      <w:r>
        <w:rPr>
          <w:rStyle w:val="eop"/>
          <w:lang w:val="nl-NL"/>
        </w:rPr>
        <w:t xml:space="preserve"> </w:t>
      </w:r>
      <w:r w:rsidRPr="00831E56">
        <w:rPr>
          <w:rStyle w:val="eop"/>
          <w:lang w:val="nl-NL"/>
        </w:rPr>
        <w:t>moet worden aanzien.</w:t>
      </w:r>
      <w:r>
        <w:rPr>
          <w:rStyle w:val="eop"/>
          <w:lang w:val="nl-NL"/>
        </w:rPr>
        <w:t xml:space="preserve"> </w:t>
      </w:r>
    </w:p>
    <w:p w14:paraId="7FC5DE27" w14:textId="77777777" w:rsidR="008C4A5F" w:rsidRDefault="008C4A5F" w:rsidP="00C75679">
      <w:r>
        <w:t>Een prijs</w:t>
      </w:r>
      <w:r w:rsidRPr="00AA3489">
        <w:t xml:space="preserve">herziening </w:t>
      </w:r>
      <w:r>
        <w:t xml:space="preserve">gebeurt </w:t>
      </w:r>
      <w:r w:rsidRPr="00AA3489">
        <w:t xml:space="preserve">op grond van de prijsevolutie van </w:t>
      </w:r>
      <w:r>
        <w:t>één of meer van volgende elementen</w:t>
      </w:r>
      <w:r w:rsidRPr="00AA3489">
        <w:t>:</w:t>
      </w:r>
    </w:p>
    <w:p w14:paraId="64E87BE5" w14:textId="322575D4" w:rsidR="008C4A5F" w:rsidRDefault="008C4A5F">
      <w:pPr>
        <w:pStyle w:val="Lijstnummering"/>
        <w:numPr>
          <w:ilvl w:val="0"/>
          <w:numId w:val="27"/>
        </w:numPr>
        <w:tabs>
          <w:tab w:val="clear" w:pos="360"/>
          <w:tab w:val="num" w:pos="284"/>
        </w:tabs>
      </w:pPr>
      <w:r w:rsidRPr="00AA3489">
        <w:t>de uurlonen van het personeel en de sociale lasten;</w:t>
      </w:r>
    </w:p>
    <w:p w14:paraId="45E5F89A" w14:textId="7114F453" w:rsidR="008C4A5F" w:rsidRDefault="008C4A5F">
      <w:pPr>
        <w:pStyle w:val="Lijstnummering"/>
      </w:pPr>
      <w:r w:rsidRPr="00AA3489">
        <w:t>in functie van de aard van de opdracht, één of meer relevante elementen zoals de materiaalprijzen, de grondstofprijzen,</w:t>
      </w:r>
      <w:r>
        <w:t xml:space="preserve"> </w:t>
      </w:r>
      <w:r w:rsidRPr="00AA3489">
        <w:t>wisselkoersen.</w:t>
      </w:r>
    </w:p>
    <w:p w14:paraId="7D75688B" w14:textId="77777777" w:rsidR="008C4A5F" w:rsidRDefault="008C4A5F" w:rsidP="00C75679">
      <w:r w:rsidRPr="00AA3489">
        <w:t>De prijsherziening steunt op objectieve en controleerbare parameters en maakt gebruik van passende wegingscoëfficiënten en weerspiegelt aldus de werkelijke kostprijsstructuur.</w:t>
      </w:r>
      <w:r>
        <w:t xml:space="preserve"> </w:t>
      </w:r>
      <w:r w:rsidRPr="00AA3489">
        <w:t xml:space="preserve">De prijsherziening kan een vaste, niet-herzienbare factor bevatten, die de aanbesteder bepaalt in functie van de </w:t>
      </w:r>
      <w:r w:rsidRPr="00FD53A3">
        <w:t>specificiteit</w:t>
      </w:r>
      <w:r w:rsidRPr="00AA3489">
        <w:t xml:space="preserve"> van de opdracht.</w:t>
      </w:r>
      <w:r>
        <w:t xml:space="preserve"> </w:t>
      </w:r>
      <w:r w:rsidRPr="009B3D49">
        <w:t>In geval van moeilijkheden om een prijsherzieningsformule samen te stellen, kan de aanbesteder de gezondheidsindex, de index van consumptieprijzen of een andere passende index hanteren.</w:t>
      </w:r>
      <w:r>
        <w:t xml:space="preserve"> </w:t>
      </w:r>
    </w:p>
    <w:p w14:paraId="1C38907D" w14:textId="77777777" w:rsidR="008C4A5F" w:rsidRPr="003D534F" w:rsidRDefault="008C4A5F" w:rsidP="00C75679">
      <w:r w:rsidRPr="003D534F">
        <w:t>Er moet verplicht een prijsherziening voorzien worden voor:</w:t>
      </w:r>
    </w:p>
    <w:p w14:paraId="410BC5C8" w14:textId="6867D61C" w:rsidR="008C4A5F" w:rsidRPr="001C306D" w:rsidRDefault="008C4A5F" w:rsidP="00C75679">
      <w:pPr>
        <w:pStyle w:val="Bullet1"/>
        <w:rPr>
          <w:lang w:val="nl-BE"/>
        </w:rPr>
      </w:pPr>
      <w:r w:rsidRPr="001C306D">
        <w:rPr>
          <w:lang w:val="nl-BE"/>
        </w:rPr>
        <w:t>de opdrachten voor werken (behalve als de geraamde waarde van de opdracht minder dan 120.000 euro bedraagt en de initiële uitvoeringstermijn korter is dan honderdtwintig werkdagen of honderdtachtig kalenderdagen - niet verplicht, maar altijd mogelijk);</w:t>
      </w:r>
    </w:p>
    <w:p w14:paraId="287A699C" w14:textId="1B533D6A" w:rsidR="00884E7E" w:rsidRPr="005A0953" w:rsidRDefault="008C4A5F" w:rsidP="00884E7E">
      <w:pPr>
        <w:pStyle w:val="Bullet1"/>
        <w:rPr>
          <w:lang w:val="nl-BE"/>
        </w:rPr>
      </w:pPr>
      <w:r w:rsidRPr="005A0953">
        <w:rPr>
          <w:lang w:val="nl-BE"/>
        </w:rPr>
        <w:t xml:space="preserve">de opdrachten voor diensten in bijlage I bij het </w:t>
      </w:r>
      <w:r w:rsidR="000C3DFC">
        <w:rPr>
          <w:lang w:val="nl-BE"/>
        </w:rPr>
        <w:t>KB</w:t>
      </w:r>
      <w:r w:rsidRPr="005A0953">
        <w:rPr>
          <w:lang w:val="nl-BE"/>
        </w:rPr>
        <w:t xml:space="preserve"> van 14 januari 2013.</w:t>
      </w:r>
      <w:r w:rsidR="005A0953" w:rsidRPr="005A0953">
        <w:rPr>
          <w:lang w:val="nl-BE"/>
        </w:rPr>
        <w:t xml:space="preserve"> </w:t>
      </w:r>
    </w:p>
    <w:p w14:paraId="6060D903" w14:textId="4DD9C6AA" w:rsidR="00437C23" w:rsidRDefault="00437C23">
      <w:pPr>
        <w:pStyle w:val="Kop2"/>
      </w:pPr>
      <w:bookmarkStart w:id="135" w:name="_Toc135839985"/>
      <w:bookmarkStart w:id="136" w:name="_Toc150870590"/>
      <w:r>
        <w:t>Toelichting</w:t>
      </w:r>
      <w:bookmarkEnd w:id="135"/>
      <w:bookmarkEnd w:id="136"/>
    </w:p>
    <w:p w14:paraId="7E724332" w14:textId="19EDCAD1" w:rsidR="00437C23" w:rsidRDefault="00AC554F" w:rsidP="00AC554F">
      <w:pPr>
        <w:pStyle w:val="Kop3"/>
      </w:pPr>
      <w:bookmarkStart w:id="137" w:name="_Toc135839986"/>
      <w:bookmarkStart w:id="138" w:name="_Toc150870591"/>
      <w:r>
        <w:t>Vereisten om voor de gunning in aanmerking te komen: de selectiecriteria</w:t>
      </w:r>
      <w:bookmarkEnd w:id="137"/>
      <w:bookmarkEnd w:id="138"/>
    </w:p>
    <w:p w14:paraId="618A8E77" w14:textId="77777777" w:rsidR="00F537FC" w:rsidRDefault="00F537FC" w:rsidP="00F537FC">
      <w:pPr>
        <w:rPr>
          <w:rStyle w:val="normaltextrun"/>
          <w:lang w:val="nl-NL"/>
        </w:rPr>
      </w:pPr>
      <w:r w:rsidRPr="002F48C1">
        <w:rPr>
          <w:rStyle w:val="normaltextrun"/>
          <w:lang w:val="nl-NL"/>
        </w:rPr>
        <w:t xml:space="preserve">Tijdens de selectiefase gaat de aanbesteder na of de kandidaten of inschrijvers de toegang tot de opdracht niet is ontzegd op basis van bepaalde uitsluitingsgronden en of ze voldoen aan de door de aanbesteder vastgestelde kwalitatieve selectiecriteria en de criteria inzake selectiebeperking. </w:t>
      </w:r>
    </w:p>
    <w:p w14:paraId="41C6FBDF" w14:textId="66DCD689" w:rsidR="00F537FC" w:rsidRPr="002F48C1" w:rsidRDefault="00F537FC" w:rsidP="00F537FC">
      <w:pPr>
        <w:rPr>
          <w:rStyle w:val="normaltextrun"/>
          <w:lang w:val="nl-NL"/>
        </w:rPr>
      </w:pPr>
      <w:r w:rsidRPr="002F48C1">
        <w:rPr>
          <w:rStyle w:val="normaltextrun"/>
          <w:lang w:val="nl-NL"/>
        </w:rPr>
        <w:t xml:space="preserve">In dit </w:t>
      </w:r>
      <w:r w:rsidRPr="00B1365E">
        <w:rPr>
          <w:rStyle w:val="normaltextrun"/>
          <w:b/>
          <w:bCs/>
          <w:lang w:val="nl-NL"/>
        </w:rPr>
        <w:t>principe focussen we</w:t>
      </w:r>
      <w:r w:rsidR="00E85835">
        <w:rPr>
          <w:rStyle w:val="normaltextrun"/>
          <w:b/>
          <w:bCs/>
          <w:lang w:val="nl-NL"/>
        </w:rPr>
        <w:t xml:space="preserve"> voornamelijk</w:t>
      </w:r>
      <w:r w:rsidRPr="00B1365E">
        <w:rPr>
          <w:rStyle w:val="normaltextrun"/>
          <w:b/>
          <w:bCs/>
          <w:lang w:val="nl-NL"/>
        </w:rPr>
        <w:t xml:space="preserve"> op de selectiecriteria en het aspect “proportionaliteit”</w:t>
      </w:r>
      <w:r w:rsidRPr="002F48C1">
        <w:rPr>
          <w:rStyle w:val="normaltextrun"/>
          <w:lang w:val="nl-NL"/>
        </w:rPr>
        <w:t xml:space="preserve">. </w:t>
      </w:r>
    </w:p>
    <w:p w14:paraId="09B96B76" w14:textId="77777777" w:rsidR="00F537FC" w:rsidRDefault="00F537FC" w:rsidP="00F537FC">
      <w:pPr>
        <w:rPr>
          <w:rStyle w:val="normaltextrun"/>
          <w:lang w:val="nl-NL"/>
        </w:rPr>
      </w:pPr>
      <w:r w:rsidRPr="003D534F">
        <w:rPr>
          <w:rStyle w:val="normaltextrun"/>
          <w:lang w:val="nl-NL"/>
        </w:rPr>
        <w:t xml:space="preserve">De kwalitatieve selectie heeft uitsluitend betrekking op de persoonlijke en kwalitatieve situatie van de kandidaten en inschrijvers die meedingen naar de opdracht. De aanbesteder onderzoekt </w:t>
      </w:r>
      <w:r w:rsidRPr="003D534F">
        <w:rPr>
          <w:rStyle w:val="normaltextrun"/>
          <w:lang w:val="nl-NL"/>
        </w:rPr>
        <w:lastRenderedPageBreak/>
        <w:t xml:space="preserve">met andere woorden hun </w:t>
      </w:r>
      <w:r w:rsidRPr="003D534F">
        <w:rPr>
          <w:rStyle w:val="normaltextrun"/>
          <w:b/>
          <w:bCs/>
          <w:lang w:val="nl-NL"/>
        </w:rPr>
        <w:t>geschiktheid om de opdracht uit te voeren</w:t>
      </w:r>
      <w:r w:rsidRPr="003D534F">
        <w:rPr>
          <w:rStyle w:val="normaltextrun"/>
          <w:lang w:val="nl-NL"/>
        </w:rPr>
        <w:t xml:space="preserve">. Deze fase heeft dus niets te maken met de kwaliteit of de inhoud van de ingediende offertes. </w:t>
      </w:r>
    </w:p>
    <w:p w14:paraId="4D714B34" w14:textId="6641A72E" w:rsidR="005A7235" w:rsidRDefault="00141B8B" w:rsidP="00141B8B">
      <w:pPr>
        <w:pStyle w:val="Kop4"/>
        <w:rPr>
          <w:lang w:val="nl-BE"/>
        </w:rPr>
      </w:pPr>
      <w:r w:rsidRPr="00141B8B">
        <w:rPr>
          <w:lang w:val="nl-BE"/>
        </w:rPr>
        <w:t>Relevantie van de gekozen s</w:t>
      </w:r>
      <w:r>
        <w:rPr>
          <w:lang w:val="nl-BE"/>
        </w:rPr>
        <w:t>electiecriteria</w:t>
      </w:r>
    </w:p>
    <w:p w14:paraId="4CC289E5" w14:textId="08030E8C" w:rsidR="002A3538" w:rsidRDefault="002A3538" w:rsidP="002A3538">
      <w:r>
        <w:t>Bij elke opdracht is de aanbesteder</w:t>
      </w:r>
      <w:r w:rsidR="00D57ECC">
        <w:t xml:space="preserve"> eraan</w:t>
      </w:r>
      <w:r>
        <w:t xml:space="preserve"> gehouden</w:t>
      </w:r>
      <w:r w:rsidR="00D57ECC">
        <w:t xml:space="preserve"> om</w:t>
      </w:r>
      <w:r>
        <w:t xml:space="preserve"> </w:t>
      </w:r>
      <w:r w:rsidRPr="002A3538">
        <w:rPr>
          <w:b/>
          <w:bCs/>
        </w:rPr>
        <w:t>minimum één</w:t>
      </w:r>
      <w:r>
        <w:t xml:space="preserve"> selectiecriterium op te nemen, uitgezonderd bij de onderhandelingsprocedure zonder voorafgaande bekendmaking onder de Europese drempels en bij opdrachten van beperkte waarde. </w:t>
      </w:r>
    </w:p>
    <w:p w14:paraId="3C33628E" w14:textId="38AD1549" w:rsidR="00141B8B" w:rsidRDefault="00AD5AAA" w:rsidP="002A3538">
      <w:r>
        <w:t xml:space="preserve">Aanbesteders </w:t>
      </w:r>
      <w:r w:rsidR="002A3538">
        <w:t xml:space="preserve">moeten indachtig zijn dat de </w:t>
      </w:r>
      <w:r w:rsidR="00AE39E7">
        <w:t>aanbesteder</w:t>
      </w:r>
      <w:r w:rsidR="002A3538">
        <w:t xml:space="preserve"> er dus </w:t>
      </w:r>
      <w:r w:rsidR="002A3538" w:rsidRPr="00AE39E7">
        <w:rPr>
          <w:b/>
          <w:bCs/>
        </w:rPr>
        <w:t>niet toe gehouden is alle selectiecriteria op te nemen</w:t>
      </w:r>
      <w:r w:rsidR="002A3538">
        <w:t xml:space="preserve">. </w:t>
      </w:r>
      <w:r w:rsidR="002A3538" w:rsidRPr="0039364B">
        <w:t xml:space="preserve">De </w:t>
      </w:r>
      <w:r w:rsidR="0039364B">
        <w:t>aanbesteder</w:t>
      </w:r>
      <w:r w:rsidR="002A3538" w:rsidRPr="002A3538">
        <w:rPr>
          <w:b/>
          <w:bCs/>
        </w:rPr>
        <w:t xml:space="preserve"> zou zich bijvoorbeeld maximaal kunnen inzetten om het selectiecriterium “economische en financiële draagkracht” achterwege te laten</w:t>
      </w:r>
      <w:r w:rsidR="002A3538">
        <w:t xml:space="preserve">. De </w:t>
      </w:r>
      <w:r w:rsidR="005C0DE1">
        <w:t>aanbesteder</w:t>
      </w:r>
      <w:r w:rsidR="002A3538">
        <w:t xml:space="preserve"> moet immers haar eisen aanpassen en pertinente criteria bepalen die op een zodanige manier worden voorzien dat ze de uitvoering van de opdracht toelaten, alsook de zekerheid bieden dat er voldoende mededinging wordt georganiseerd onder de ondernemers.</w:t>
      </w:r>
    </w:p>
    <w:p w14:paraId="583889D0" w14:textId="37C82B63" w:rsidR="002A3538" w:rsidRPr="002A3538" w:rsidRDefault="002A3538" w:rsidP="002A3538">
      <w:pPr>
        <w:pStyle w:val="Kop4"/>
        <w:rPr>
          <w:lang w:val="nl-BE"/>
        </w:rPr>
      </w:pPr>
      <w:r w:rsidRPr="002A3538">
        <w:rPr>
          <w:lang w:val="nl-BE"/>
        </w:rPr>
        <w:t>Algemene beginselen en selectiecriteria</w:t>
      </w:r>
    </w:p>
    <w:p w14:paraId="173C282E" w14:textId="2DCD6A2A" w:rsidR="0019400F" w:rsidRPr="003D534F" w:rsidRDefault="0019400F" w:rsidP="0019400F">
      <w:pPr>
        <w:rPr>
          <w:rStyle w:val="normaltextrun"/>
          <w:color w:val="000000"/>
          <w:lang w:val="nl-NL"/>
        </w:rPr>
      </w:pPr>
      <w:r w:rsidRPr="003D534F">
        <w:rPr>
          <w:rStyle w:val="normaltextrun"/>
          <w:color w:val="000000"/>
          <w:lang w:val="nl-NL"/>
        </w:rPr>
        <w:t xml:space="preserve">Het is verplicht om elk selectiecriterium te verbinden aan het </w:t>
      </w:r>
      <w:r w:rsidRPr="003D534F">
        <w:rPr>
          <w:rStyle w:val="normaltextrun"/>
          <w:b/>
          <w:bCs/>
          <w:color w:val="000000"/>
          <w:lang w:val="nl-NL"/>
        </w:rPr>
        <w:t>transparantiebeginsel</w:t>
      </w:r>
      <w:r w:rsidRPr="003D534F">
        <w:rPr>
          <w:rStyle w:val="normaltextrun"/>
          <w:color w:val="000000"/>
          <w:lang w:val="nl-NL"/>
        </w:rPr>
        <w:t>. De criteria dienen op een duidelijke</w:t>
      </w:r>
      <w:r w:rsidR="00581A6C">
        <w:rPr>
          <w:rStyle w:val="normaltextrun"/>
          <w:color w:val="000000"/>
          <w:lang w:val="nl-NL"/>
        </w:rPr>
        <w:t xml:space="preserve"> </w:t>
      </w:r>
      <w:r w:rsidRPr="003D534F">
        <w:rPr>
          <w:rStyle w:val="normaltextrun"/>
          <w:color w:val="000000"/>
          <w:lang w:val="nl-NL"/>
        </w:rPr>
        <w:t xml:space="preserve">manier geformuleerd </w:t>
      </w:r>
      <w:r w:rsidR="00581A6C">
        <w:rPr>
          <w:rStyle w:val="normaltextrun"/>
          <w:color w:val="000000"/>
          <w:lang w:val="nl-NL"/>
        </w:rPr>
        <w:t xml:space="preserve">te </w:t>
      </w:r>
      <w:r w:rsidRPr="003D534F">
        <w:rPr>
          <w:rStyle w:val="normaltextrun"/>
          <w:color w:val="000000"/>
          <w:lang w:val="nl-NL"/>
        </w:rPr>
        <w:t>worden</w:t>
      </w:r>
      <w:r w:rsidR="00581A6C">
        <w:rPr>
          <w:rStyle w:val="normaltextrun"/>
          <w:color w:val="000000"/>
          <w:lang w:val="nl-NL"/>
        </w:rPr>
        <w:t xml:space="preserve"> waarbij </w:t>
      </w:r>
      <w:r w:rsidR="00EF539A">
        <w:rPr>
          <w:rStyle w:val="normaltextrun"/>
          <w:color w:val="000000"/>
          <w:lang w:val="nl-NL"/>
        </w:rPr>
        <w:t>zij door iedereen op dezelfde manier begrepen worden</w:t>
      </w:r>
      <w:r w:rsidRPr="003D534F">
        <w:rPr>
          <w:rStyle w:val="normaltextrun"/>
          <w:color w:val="000000"/>
          <w:lang w:val="nl-NL"/>
        </w:rPr>
        <w:t>.</w:t>
      </w:r>
    </w:p>
    <w:p w14:paraId="5D56F723" w14:textId="1243D288" w:rsidR="0019400F" w:rsidRDefault="0019400F" w:rsidP="0019400F">
      <w:pPr>
        <w:rPr>
          <w:rStyle w:val="normaltextrun"/>
          <w:color w:val="000000"/>
          <w:lang w:val="nl-NL"/>
        </w:rPr>
      </w:pPr>
      <w:r w:rsidRPr="003D534F">
        <w:rPr>
          <w:rStyle w:val="normaltextrun"/>
          <w:color w:val="000000"/>
          <w:lang w:val="nl-NL"/>
        </w:rPr>
        <w:t xml:space="preserve">Het proportionaliteitsbeginsel vraagt dat het criterium in </w:t>
      </w:r>
      <w:r w:rsidRPr="003D534F">
        <w:rPr>
          <w:rStyle w:val="normaltextrun"/>
          <w:b/>
          <w:bCs/>
          <w:color w:val="000000"/>
          <w:lang w:val="nl-NL"/>
        </w:rPr>
        <w:t>verband staat met de opdracht</w:t>
      </w:r>
      <w:r w:rsidRPr="003D534F">
        <w:rPr>
          <w:rStyle w:val="normaltextrun"/>
          <w:color w:val="000000"/>
          <w:lang w:val="nl-NL"/>
        </w:rPr>
        <w:t xml:space="preserve"> en voorzien is van een </w:t>
      </w:r>
      <w:r w:rsidRPr="003D534F">
        <w:rPr>
          <w:rStyle w:val="normaltextrun"/>
          <w:b/>
          <w:bCs/>
          <w:color w:val="000000"/>
          <w:lang w:val="nl-NL"/>
        </w:rPr>
        <w:t>gepast niveau</w:t>
      </w:r>
      <w:r w:rsidRPr="003D534F">
        <w:rPr>
          <w:rStyle w:val="normaltextrun"/>
          <w:color w:val="000000"/>
          <w:lang w:val="nl-NL"/>
        </w:rPr>
        <w:t>. Het vast te stellen niveau moet proportioneel zijn met het belang en de complexiteit van de opdracht. Het is belangrijk om een niveau te bepalen dat niet ridicuul is ten opzichte van het belang van de opdracht en evenmin, in omgekeerde zin, disproportioneel is. Het komt erop aan zowel een kwalitatief niveau als een kwantitatief niveau vast te stellen</w:t>
      </w:r>
      <w:r w:rsidR="00AB4758">
        <w:rPr>
          <w:rStyle w:val="normaltextrun"/>
          <w:color w:val="000000"/>
          <w:lang w:val="nl-NL"/>
        </w:rPr>
        <w:t xml:space="preserve">; </w:t>
      </w:r>
      <w:r w:rsidRPr="003D534F">
        <w:rPr>
          <w:rStyle w:val="normaltextrun"/>
          <w:color w:val="000000"/>
          <w:lang w:val="nl-NL"/>
        </w:rPr>
        <w:t xml:space="preserve">bijvoorbeeld vijf referenties met betrekking tot de werken, minstens voorlopig opgeleverd, voor een bedrag van ten minste </w:t>
      </w:r>
      <w:r>
        <w:rPr>
          <w:rStyle w:val="normaltextrun"/>
          <w:color w:val="000000"/>
          <w:lang w:val="nl-NL"/>
        </w:rPr>
        <w:t>2</w:t>
      </w:r>
      <w:r w:rsidRPr="003D534F">
        <w:rPr>
          <w:rStyle w:val="normaltextrun"/>
          <w:color w:val="000000"/>
          <w:lang w:val="nl-NL"/>
        </w:rPr>
        <w:t>50.000 euro en met betrekking tot werken van een bepaalde aard.</w:t>
      </w:r>
      <w:r>
        <w:rPr>
          <w:rStyle w:val="normaltextrun"/>
          <w:color w:val="000000"/>
          <w:lang w:val="nl-NL"/>
        </w:rPr>
        <w:t xml:space="preserve"> </w:t>
      </w:r>
    </w:p>
    <w:p w14:paraId="6999A138" w14:textId="526988C7" w:rsidR="0019400F" w:rsidRDefault="0019400F" w:rsidP="0019400F">
      <w:pPr>
        <w:rPr>
          <w:rStyle w:val="normaltextrun"/>
          <w:color w:val="000000"/>
          <w:lang w:val="nl-NL"/>
        </w:rPr>
      </w:pPr>
      <w:r w:rsidRPr="006E01AC">
        <w:rPr>
          <w:rStyle w:val="normaltextrun"/>
          <w:b/>
          <w:bCs/>
          <w:color w:val="000000"/>
          <w:lang w:val="nl-NL"/>
        </w:rPr>
        <w:t>Te strenge eisen</w:t>
      </w:r>
      <w:r w:rsidRPr="003D534F">
        <w:rPr>
          <w:rStyle w:val="normaltextrun"/>
          <w:color w:val="000000"/>
          <w:lang w:val="nl-NL"/>
        </w:rPr>
        <w:t xml:space="preserve">, bijvoorbeeld </w:t>
      </w:r>
      <w:r w:rsidR="00BB0347">
        <w:rPr>
          <w:rStyle w:val="normaltextrun"/>
          <w:color w:val="000000"/>
          <w:lang w:val="nl-NL"/>
        </w:rPr>
        <w:t>over de</w:t>
      </w:r>
      <w:r w:rsidRPr="003D534F">
        <w:rPr>
          <w:rStyle w:val="normaltextrun"/>
          <w:color w:val="000000"/>
          <w:lang w:val="nl-NL"/>
        </w:rPr>
        <w:t xml:space="preserve"> economische en financiële draagkracht, </w:t>
      </w:r>
      <w:r w:rsidRPr="006E01AC">
        <w:rPr>
          <w:rStyle w:val="normaltextrun"/>
          <w:b/>
          <w:bCs/>
          <w:color w:val="000000"/>
          <w:lang w:val="nl-NL"/>
        </w:rPr>
        <w:t>vormen vaak een onverantwoorde belemmering voor de deelname van kmo’s aan overheidsopdrachten</w:t>
      </w:r>
      <w:r w:rsidRPr="003D534F">
        <w:rPr>
          <w:rStyle w:val="normaltextrun"/>
          <w:color w:val="000000"/>
          <w:lang w:val="nl-NL"/>
        </w:rPr>
        <w:t xml:space="preserve">. Enkel door een gepast niveau te bepalen, </w:t>
      </w:r>
      <w:r>
        <w:rPr>
          <w:rStyle w:val="normaltextrun"/>
          <w:color w:val="000000"/>
          <w:lang w:val="nl-NL"/>
        </w:rPr>
        <w:t>kan de aanbesteder</w:t>
      </w:r>
      <w:r w:rsidRPr="003D534F">
        <w:rPr>
          <w:rStyle w:val="normaltextrun"/>
          <w:color w:val="000000"/>
          <w:lang w:val="nl-NL"/>
        </w:rPr>
        <w:t xml:space="preserve"> voldoende mededinging garanderen.</w:t>
      </w:r>
    </w:p>
    <w:p w14:paraId="0EB23DC8" w14:textId="767AB1D4" w:rsidR="0019400F" w:rsidRPr="0064768A" w:rsidRDefault="0019400F" w:rsidP="0019400F">
      <w:pPr>
        <w:rPr>
          <w:rStyle w:val="eop"/>
          <w:color w:val="000000"/>
        </w:rPr>
      </w:pPr>
      <w:r w:rsidRPr="0064768A">
        <w:t xml:space="preserve">Er zijn evenwel afwijkingen voorzien waarbij het mogelijk is dat sommige criteria er zich niet toe lenen om een minimumniveau vast te stellen (bijvoorbeeld bij de bankverklaring). In een dergelijk geval is de </w:t>
      </w:r>
      <w:r w:rsidR="00073206">
        <w:t>aanbesteder</w:t>
      </w:r>
      <w:r w:rsidRPr="0064768A">
        <w:t xml:space="preserve"> niet verplicht om een minimaal niveau voor het betreffende criterium vast te stellen, maar moet zij dat criterium gepaard laten gaan met een tweede criterium in dezelfde categorie (in het voorbeeld van de bankgarantie, dus een criterium van economische aard) die toelaat om een minimaal niveau vast te stellen.</w:t>
      </w:r>
    </w:p>
    <w:p w14:paraId="66F8E3F7" w14:textId="666FD4DA" w:rsidR="0019400F" w:rsidRPr="00577FF6" w:rsidRDefault="0019400F" w:rsidP="0019400F">
      <w:pPr>
        <w:rPr>
          <w:rFonts w:eastAsia="Calibri" w:cs="Segoe UI"/>
        </w:rPr>
      </w:pPr>
      <w:r>
        <w:rPr>
          <w:rFonts w:eastAsia="Calibri" w:cs="Segoe UI"/>
        </w:rPr>
        <w:t>I</w:t>
      </w:r>
      <w:r w:rsidRPr="00577FF6">
        <w:rPr>
          <w:rFonts w:eastAsia="Calibri" w:cs="Segoe UI"/>
        </w:rPr>
        <w:t xml:space="preserve">n het kader van dit principe is het interessant om </w:t>
      </w:r>
      <w:r>
        <w:rPr>
          <w:rFonts w:eastAsia="Calibri" w:cs="Segoe UI"/>
        </w:rPr>
        <w:t xml:space="preserve">opnieuw </w:t>
      </w:r>
      <w:r w:rsidRPr="00577FF6">
        <w:rPr>
          <w:rFonts w:eastAsia="Calibri" w:cs="Segoe UI"/>
        </w:rPr>
        <w:t xml:space="preserve">de aandacht te vestigen </w:t>
      </w:r>
      <w:r w:rsidRPr="00577FF6">
        <w:rPr>
          <w:rFonts w:eastAsia="Calibri" w:cs="Segoe UI"/>
          <w:b/>
          <w:bCs/>
        </w:rPr>
        <w:t>op een nieuwe, toekomstige functionaliteit van het vernieuwde e-Procurement</w:t>
      </w:r>
      <w:r w:rsidRPr="00577FF6">
        <w:rPr>
          <w:rFonts w:eastAsia="Calibri" w:cs="Segoe UI"/>
        </w:rPr>
        <w:t>. Via het vernieuwde e-Procurement zal de aanbesteder in de toekomst de optie krijgen om aan een geïnteresseerde inschrijver (onderneming) te vragen waarom die zich toch niet heeft ingeschreven voor een bepaalde overheidsopdracht</w:t>
      </w:r>
      <w:r>
        <w:rPr>
          <w:rFonts w:eastAsia="Calibri" w:cs="Segoe UI"/>
        </w:rPr>
        <w:t xml:space="preserve"> – zie eerder bij </w:t>
      </w:r>
      <w:r w:rsidRPr="001A18AD">
        <w:rPr>
          <w:rFonts w:eastAsia="Calibri" w:cs="Segoe UI"/>
        </w:rPr>
        <w:t>principe 4.</w:t>
      </w:r>
    </w:p>
    <w:p w14:paraId="754E716A" w14:textId="11C27602" w:rsidR="0019400F" w:rsidRPr="00577FF6" w:rsidRDefault="00C642C4" w:rsidP="0019400F">
      <w:pPr>
        <w:rPr>
          <w:rFonts w:eastAsia="Calibri" w:cs="Times New Roman"/>
          <w:lang w:val="nl-NL"/>
        </w:rPr>
      </w:pPr>
      <w:r>
        <w:rPr>
          <w:rFonts w:eastAsia="Calibri" w:cs="Segoe UI"/>
          <w:b/>
          <w:bCs/>
        </w:rPr>
        <w:t>Samengevat</w:t>
      </w:r>
      <w:r w:rsidR="0019400F" w:rsidRPr="00577FF6">
        <w:rPr>
          <w:rFonts w:eastAsia="Calibri" w:cs="Segoe UI"/>
          <w:b/>
          <w:bCs/>
        </w:rPr>
        <w:t>: een aanbesteder zal binnenkort de redenen van niet-participatie via e-Procurement kunnen bevragen</w:t>
      </w:r>
      <w:r w:rsidR="0019400F" w:rsidRPr="00577FF6">
        <w:rPr>
          <w:rFonts w:eastAsia="Calibri" w:cs="Segoe UI"/>
        </w:rPr>
        <w:t xml:space="preserve">. </w:t>
      </w:r>
      <w:r w:rsidR="0019400F" w:rsidRPr="00577FF6">
        <w:rPr>
          <w:rFonts w:eastAsia="Calibri" w:cs="Times New Roman"/>
          <w:lang w:val="nl-NL"/>
        </w:rPr>
        <w:t xml:space="preserve">Of de proportionaliteit van de </w:t>
      </w:r>
      <w:r w:rsidR="0019400F">
        <w:rPr>
          <w:rFonts w:eastAsia="Calibri" w:cs="Times New Roman"/>
          <w:lang w:val="nl-NL"/>
        </w:rPr>
        <w:t>selectiecriteria</w:t>
      </w:r>
      <w:r w:rsidR="0019400F" w:rsidRPr="00577FF6">
        <w:rPr>
          <w:rFonts w:eastAsia="Calibri" w:cs="Times New Roman"/>
          <w:lang w:val="nl-NL"/>
        </w:rPr>
        <w:t xml:space="preserve"> een rol heeft gespeeld in de beslissing om niet te participeren, zal een onderdeel</w:t>
      </w:r>
      <w:r>
        <w:rPr>
          <w:rFonts w:eastAsia="Calibri" w:cs="Times New Roman"/>
          <w:lang w:val="nl-NL"/>
        </w:rPr>
        <w:t xml:space="preserve"> (kunnen)</w:t>
      </w:r>
      <w:r w:rsidR="0019400F" w:rsidRPr="00577FF6">
        <w:rPr>
          <w:rFonts w:eastAsia="Calibri" w:cs="Times New Roman"/>
          <w:lang w:val="nl-NL"/>
        </w:rPr>
        <w:t xml:space="preserve"> vormen van deze bevraging. </w:t>
      </w:r>
    </w:p>
    <w:p w14:paraId="5D61E4EB" w14:textId="77777777" w:rsidR="0019400F" w:rsidRPr="00577FF6" w:rsidRDefault="0019400F" w:rsidP="0019400F">
      <w:pPr>
        <w:rPr>
          <w:rFonts w:eastAsia="Calibri" w:cs="Times New Roman"/>
          <w:lang w:val="nl-NL"/>
        </w:rPr>
      </w:pPr>
      <w:r w:rsidRPr="00AD2A8E">
        <w:rPr>
          <w:rFonts w:eastAsia="Calibri" w:cs="Times New Roman"/>
          <w:b/>
          <w:bCs/>
          <w:color w:val="0070C0"/>
          <w:lang w:val="nl-NL"/>
        </w:rPr>
        <w:t>In het geval dat de aanbesteder geen enkele of maar één offerte heeft ontvangen voor een overheidsopdracht, is de aanbesteder voortaan verplicht om gebruik te maken van die toepassing</w:t>
      </w:r>
      <w:r w:rsidRPr="00AD2A8E">
        <w:rPr>
          <w:rFonts w:eastAsia="Calibri" w:cs="Times New Roman"/>
          <w:color w:val="0070C0"/>
          <w:lang w:val="nl-NL"/>
        </w:rPr>
        <w:t xml:space="preserve"> </w:t>
      </w:r>
      <w:r w:rsidRPr="00577FF6">
        <w:rPr>
          <w:rFonts w:eastAsia="Calibri" w:cs="Times New Roman"/>
          <w:lang w:val="nl-NL"/>
        </w:rPr>
        <w:t xml:space="preserve">in e-Procurement om de niet-deelname van andere uitgenodigde en/of geïnteresseerde ondernemingen te bevragen, onder meer inzake de proportionaliteit van de </w:t>
      </w:r>
      <w:r>
        <w:rPr>
          <w:rFonts w:eastAsia="Calibri" w:cs="Times New Roman"/>
          <w:lang w:val="nl-NL"/>
        </w:rPr>
        <w:t>selectiecriteria</w:t>
      </w:r>
      <w:r w:rsidRPr="00577FF6">
        <w:rPr>
          <w:rFonts w:eastAsia="Calibri" w:cs="Times New Roman"/>
          <w:lang w:val="nl-NL"/>
        </w:rPr>
        <w:t xml:space="preserve">, en uitgezonderd het specifieke geval waar maar één onderneming uitgenodigd werd om een offerte in te dienen en er omwille van die reden maar één offerte ontvangen werd. </w:t>
      </w:r>
    </w:p>
    <w:p w14:paraId="0F97FD7D" w14:textId="77777777" w:rsidR="0019400F" w:rsidRDefault="0019400F" w:rsidP="0019400F">
      <w:pPr>
        <w:rPr>
          <w:rFonts w:eastAsia="Calibri" w:cs="Times New Roman"/>
          <w:lang w:val="nl-NL"/>
        </w:rPr>
      </w:pPr>
      <w:r w:rsidRPr="00101963">
        <w:rPr>
          <w:rFonts w:eastAsia="Calibri" w:cs="Times New Roman"/>
          <w:b/>
          <w:bCs/>
          <w:color w:val="0070C0"/>
          <w:lang w:val="nl-NL"/>
        </w:rPr>
        <w:t>In alle andere gevallen</w:t>
      </w:r>
      <w:r w:rsidRPr="00101963">
        <w:rPr>
          <w:rFonts w:eastAsia="Calibri" w:cs="Times New Roman"/>
          <w:color w:val="0070C0"/>
          <w:lang w:val="nl-NL"/>
        </w:rPr>
        <w:t xml:space="preserve"> </w:t>
      </w:r>
      <w:r w:rsidRPr="00577FF6">
        <w:rPr>
          <w:rFonts w:eastAsia="Calibri" w:cs="Times New Roman"/>
          <w:lang w:val="nl-NL"/>
        </w:rPr>
        <w:t xml:space="preserve">is het gebruik van de nieuwe toepassing in e-Procurement sterk aanbevolen voor de aanbesteders en wordt dat beschouwd als </w:t>
      </w:r>
      <w:r w:rsidRPr="00101963">
        <w:rPr>
          <w:rFonts w:eastAsia="Calibri" w:cs="Times New Roman"/>
          <w:b/>
          <w:bCs/>
          <w:color w:val="0070C0"/>
          <w:lang w:val="nl-NL"/>
        </w:rPr>
        <w:t>een best practice</w:t>
      </w:r>
      <w:r>
        <w:rPr>
          <w:rFonts w:eastAsia="Calibri" w:cs="Times New Roman"/>
          <w:lang w:val="nl-NL"/>
        </w:rPr>
        <w:t xml:space="preserve">. </w:t>
      </w:r>
    </w:p>
    <w:p w14:paraId="54E47063" w14:textId="77777777" w:rsidR="0019400F" w:rsidRDefault="0019400F" w:rsidP="0019400F">
      <w:pPr>
        <w:rPr>
          <w:rFonts w:eastAsia="Calibri"/>
          <w:lang w:val="nl-NL"/>
        </w:rPr>
      </w:pPr>
      <w:r w:rsidRPr="00577FF6">
        <w:rPr>
          <w:rFonts w:eastAsia="Calibri"/>
          <w:lang w:val="nl-NL"/>
        </w:rPr>
        <w:t>Een opvolging van het gebruik van de nieuwe toepassing in e-Procurement wordt voorzien.</w:t>
      </w:r>
    </w:p>
    <w:p w14:paraId="278F7642" w14:textId="634FBE00" w:rsidR="00D75F9A" w:rsidRDefault="00DD39B7" w:rsidP="00DD39B7">
      <w:pPr>
        <w:pStyle w:val="Kop3"/>
      </w:pPr>
      <w:bookmarkStart w:id="139" w:name="_Toc135839987"/>
      <w:bookmarkStart w:id="140" w:name="_Toc150870592"/>
      <w:r>
        <w:lastRenderedPageBreak/>
        <w:t>Selectiecriteria en de (kostprijs van) bewijsmateriaal</w:t>
      </w:r>
      <w:bookmarkEnd w:id="139"/>
      <w:bookmarkEnd w:id="140"/>
    </w:p>
    <w:p w14:paraId="19350067" w14:textId="656AE410" w:rsidR="000B7140" w:rsidRDefault="000B7140" w:rsidP="000B7140">
      <w:pPr>
        <w:rPr>
          <w:lang w:val="nl-NL"/>
        </w:rPr>
      </w:pPr>
      <w:r w:rsidRPr="00B84584">
        <w:rPr>
          <w:lang w:val="nl-NL"/>
        </w:rPr>
        <w:t>Zoals reeds eerder aangegeven wordt in dit principe niet verder stilgestaan bij de mogelijkheid om selectiecriteria te baseren op de “geschiktheid om de beroepsactiviteit uit te oefenen” aangezien de</w:t>
      </w:r>
      <w:r>
        <w:rPr>
          <w:lang w:val="nl-NL"/>
        </w:rPr>
        <w:t xml:space="preserve"> </w:t>
      </w:r>
      <w:r w:rsidR="001C4E11">
        <w:rPr>
          <w:lang w:val="nl-NL"/>
        </w:rPr>
        <w:t>gerapporteerde</w:t>
      </w:r>
      <w:r w:rsidR="001C4E11" w:rsidRPr="00B84584">
        <w:rPr>
          <w:lang w:val="nl-NL"/>
        </w:rPr>
        <w:t xml:space="preserve"> </w:t>
      </w:r>
      <w:r w:rsidRPr="00B84584">
        <w:rPr>
          <w:lang w:val="nl-NL"/>
        </w:rPr>
        <w:t>problemen zich situe</w:t>
      </w:r>
      <w:r>
        <w:rPr>
          <w:lang w:val="nl-NL"/>
        </w:rPr>
        <w:t>ren</w:t>
      </w:r>
      <w:r w:rsidRPr="00B84584">
        <w:rPr>
          <w:lang w:val="nl-NL"/>
        </w:rPr>
        <w:t xml:space="preserve"> bij de andere twee mogelijkheden. </w:t>
      </w:r>
    </w:p>
    <w:p w14:paraId="10ED5061" w14:textId="01FA1D88" w:rsidR="000B7140" w:rsidRPr="00B84584" w:rsidRDefault="000B7140" w:rsidP="000B7140">
      <w:r w:rsidRPr="00B84584">
        <w:rPr>
          <w:lang w:val="nl-NL"/>
        </w:rPr>
        <w:t>Wel geven we nog mee dat d</w:t>
      </w:r>
      <w:r>
        <w:rPr>
          <w:lang w:val="nl-NL"/>
        </w:rPr>
        <w:t>i</w:t>
      </w:r>
      <w:r w:rsidRPr="00B84584">
        <w:rPr>
          <w:lang w:val="nl-NL"/>
        </w:rPr>
        <w:t xml:space="preserve">e eerste mogelijkheid onder meer slaat op </w:t>
      </w:r>
      <w:r w:rsidRPr="00B84584">
        <w:t>het</w:t>
      </w:r>
      <w:r>
        <w:t xml:space="preserve"> kunnen</w:t>
      </w:r>
      <w:r w:rsidRPr="00B84584">
        <w:t xml:space="preserve"> eisen van ondernemers dat zij ingeschreven zijn bij een van de in de lidstaat van vestiging bijgehouden beroeps- of handelsregisters</w:t>
      </w:r>
      <w:r w:rsidRPr="0094798F">
        <w:t xml:space="preserve">, </w:t>
      </w:r>
      <w:r>
        <w:t>zo</w:t>
      </w:r>
      <w:r w:rsidRPr="0094798F">
        <w:t>als omschreven in bijlage 10</w:t>
      </w:r>
      <w:r>
        <w:t xml:space="preserve"> van het </w:t>
      </w:r>
      <w:r w:rsidR="006C37EF">
        <w:t>KB</w:t>
      </w:r>
      <w:r>
        <w:t xml:space="preserve"> Plaatsing</w:t>
      </w:r>
      <w:r w:rsidRPr="0094798F">
        <w:t>, of dat zij voldoen aan andere eisen in die bijlage.</w:t>
      </w:r>
      <w:r w:rsidRPr="00B84584">
        <w:t xml:space="preserve"> </w:t>
      </w:r>
      <w:r>
        <w:t>B</w:t>
      </w:r>
      <w:r w:rsidRPr="00B84584">
        <w:t xml:space="preserve">ij opdrachten voor diensten, voor zover ondernemers moeten beschikken over een bepaalde vergunning of lid moeten zijn van een bepaalde organisatie om in hun land van herkomst de betrokken dienst te verlenen, </w:t>
      </w:r>
      <w:r>
        <w:t xml:space="preserve">kunnen aanbesteders </w:t>
      </w:r>
      <w:r w:rsidRPr="00B84584">
        <w:t>van de</w:t>
      </w:r>
      <w:r>
        <w:t>ze</w:t>
      </w:r>
      <w:r w:rsidRPr="00B84584">
        <w:t xml:space="preserve"> ondernemers</w:t>
      </w:r>
      <w:r>
        <w:t xml:space="preserve"> </w:t>
      </w:r>
      <w:r w:rsidRPr="00B84584">
        <w:t>eisen dat zij het bewijs leveren van die vergunning of van dat lidmaatschap.</w:t>
      </w:r>
    </w:p>
    <w:p w14:paraId="5F9CB0BC" w14:textId="1D08DBB7" w:rsidR="000B7140" w:rsidRDefault="00C36163" w:rsidP="000B7140">
      <w:pPr>
        <w:pStyle w:val="Kop4"/>
        <w:rPr>
          <w:lang w:val="nl-BE"/>
        </w:rPr>
      </w:pPr>
      <w:r w:rsidRPr="00C36163">
        <w:rPr>
          <w:lang w:val="nl-BE"/>
        </w:rPr>
        <w:t>Selectiecriteria: de economische en f</w:t>
      </w:r>
      <w:r>
        <w:rPr>
          <w:lang w:val="nl-BE"/>
        </w:rPr>
        <w:t>inanciële draagkracht</w:t>
      </w:r>
    </w:p>
    <w:p w14:paraId="46B6BA69" w14:textId="3283BE0B" w:rsidR="004B7FEB" w:rsidRPr="000625F5" w:rsidRDefault="004B7FEB" w:rsidP="004B7FEB">
      <w:r w:rsidRPr="003D534F">
        <w:rPr>
          <w:rStyle w:val="normaltextrun"/>
          <w:rFonts w:cs="Segoe UI"/>
        </w:rPr>
        <w:t>De tweede mogelijkheid</w:t>
      </w:r>
      <w:r w:rsidR="00B028D6">
        <w:rPr>
          <w:rStyle w:val="normaltextrun"/>
          <w:rFonts w:cs="Segoe UI"/>
        </w:rPr>
        <w:t>,</w:t>
      </w:r>
      <w:r w:rsidRPr="003D534F">
        <w:rPr>
          <w:rStyle w:val="normaltextrun"/>
          <w:rFonts w:cs="Segoe UI"/>
        </w:rPr>
        <w:t xml:space="preserve"> vermeld door artikel 71 van de wet</w:t>
      </w:r>
      <w:r>
        <w:rPr>
          <w:rStyle w:val="normaltextrun"/>
          <w:rFonts w:cs="Segoe UI"/>
        </w:rPr>
        <w:t>,</w:t>
      </w:r>
      <w:r w:rsidRPr="003D534F">
        <w:rPr>
          <w:rStyle w:val="normaltextrun"/>
          <w:rFonts w:cs="Segoe UI"/>
        </w:rPr>
        <w:t xml:space="preserve"> is</w:t>
      </w:r>
      <w:r>
        <w:rPr>
          <w:rStyle w:val="normaltextrun"/>
          <w:rFonts w:cs="Segoe UI"/>
        </w:rPr>
        <w:t xml:space="preserve"> dus</w:t>
      </w:r>
      <w:r w:rsidRPr="003D534F">
        <w:rPr>
          <w:rStyle w:val="normaltextrun"/>
          <w:rFonts w:cs="Segoe UI"/>
        </w:rPr>
        <w:t xml:space="preserve"> die van de economische en financiële draagkracht. De aanbesteder kan eisen stellen om ervoor te zorgen dat ondernemers over de nodige economische en financiële draagkracht beschikken om de opdracht uit te voeren. In het algemeen kan die draagkracht van de ondernemer worden aangetoond door:</w:t>
      </w:r>
      <w:r w:rsidRPr="003D534F">
        <w:rPr>
          <w:rStyle w:val="eop"/>
          <w:rFonts w:cs="Segoe UI"/>
        </w:rPr>
        <w:t> </w:t>
      </w:r>
    </w:p>
    <w:p w14:paraId="6B1A2535" w14:textId="77777777" w:rsidR="004B7FEB" w:rsidRPr="000625F5" w:rsidRDefault="004B7FEB">
      <w:pPr>
        <w:pStyle w:val="Lijstnummering"/>
        <w:numPr>
          <w:ilvl w:val="0"/>
          <w:numId w:val="28"/>
        </w:numPr>
      </w:pPr>
      <w:r w:rsidRPr="000625F5">
        <w:rPr>
          <w:rStyle w:val="normaltextrun"/>
          <w:rFonts w:cs="Segoe UI"/>
          <w:szCs w:val="20"/>
        </w:rPr>
        <w:t>de jaarrekeningen of uittreksels uit de jaarrekeningen. De aanbesteder kan eisen dat de ondernemers informatie verstrekken over hun jaarrekeningen, met name over de verhouding tussen de activa en de passiva;</w:t>
      </w:r>
      <w:r w:rsidRPr="000625F5">
        <w:rPr>
          <w:rStyle w:val="eop"/>
          <w:rFonts w:cs="Segoe UI"/>
          <w:szCs w:val="20"/>
        </w:rPr>
        <w:t> </w:t>
      </w:r>
    </w:p>
    <w:p w14:paraId="65126500" w14:textId="77777777" w:rsidR="004B7FEB" w:rsidRPr="003D534F" w:rsidRDefault="004B7FEB">
      <w:pPr>
        <w:pStyle w:val="Lijstnummering"/>
        <w:numPr>
          <w:ilvl w:val="0"/>
          <w:numId w:val="28"/>
        </w:numPr>
      </w:pPr>
      <w:r w:rsidRPr="000625F5">
        <w:rPr>
          <w:rStyle w:val="normaltextrun"/>
          <w:rFonts w:cs="Segoe UI"/>
          <w:szCs w:val="20"/>
        </w:rPr>
        <w:t>een verklaring inzake de omzet. Deze verklaring betreft de totale omzet en, in voorkomend geval, de omzet van de bedrijfsactiviteit die het voorwerp van de opdracht is</w:t>
      </w:r>
      <w:r w:rsidRPr="004B7FEB">
        <w:rPr>
          <w:rStyle w:val="normaltextrun"/>
          <w:rFonts w:cs="Segoe UI"/>
          <w:szCs w:val="20"/>
        </w:rPr>
        <w:t>;</w:t>
      </w:r>
      <w:r w:rsidRPr="004B7FEB">
        <w:rPr>
          <w:rStyle w:val="eop"/>
          <w:rFonts w:cs="Segoe UI"/>
          <w:szCs w:val="20"/>
        </w:rPr>
        <w:t> </w:t>
      </w:r>
    </w:p>
    <w:p w14:paraId="0DB9AFDB" w14:textId="6850F24A" w:rsidR="004B7FEB" w:rsidRPr="003D534F" w:rsidRDefault="004B7FEB">
      <w:pPr>
        <w:pStyle w:val="Lijstnummering"/>
        <w:numPr>
          <w:ilvl w:val="0"/>
          <w:numId w:val="28"/>
        </w:numPr>
      </w:pPr>
      <w:r w:rsidRPr="004B7FEB">
        <w:rPr>
          <w:rStyle w:val="normaltextrun"/>
          <w:rFonts w:cs="Segoe UI"/>
          <w:szCs w:val="20"/>
        </w:rPr>
        <w:t>het bewijs van een verzekering tegen beroepsrisico’s of, in voorkomend geval, een bankverklaring. Het vragen van een verzekering tegen beroepsrisico’s kan voor bepaalde overheidsopdrachten zijn nut hebben, vooral bij overheidsopdrachten voor diensten zoals de aanstelling van een architect, een advocaat of een veiligheidscoördinator.</w:t>
      </w:r>
      <w:r w:rsidRPr="004B7FEB">
        <w:rPr>
          <w:rStyle w:val="eop"/>
          <w:rFonts w:cs="Segoe UI"/>
          <w:szCs w:val="20"/>
        </w:rPr>
        <w:t> </w:t>
      </w:r>
    </w:p>
    <w:p w14:paraId="4D11B89E" w14:textId="5F4052C0" w:rsidR="001C6A2D" w:rsidRPr="003D534F" w:rsidRDefault="001C6A2D" w:rsidP="001C6A2D">
      <w:r w:rsidRPr="003D534F">
        <w:rPr>
          <w:rStyle w:val="normaltextrun"/>
          <w:rFonts w:cs="Segoe UI"/>
        </w:rPr>
        <w:t>De bovenstaande lijst wordt geacht een niet-limitatieve lijst te zijn. Niets belet de aanbesteder om andere referenties op te nemen, mits die het wettelijk</w:t>
      </w:r>
      <w:r w:rsidR="00EE2739">
        <w:rPr>
          <w:rStyle w:val="normaltextrun"/>
          <w:rFonts w:cs="Segoe UI"/>
        </w:rPr>
        <w:t>e</w:t>
      </w:r>
      <w:r w:rsidRPr="003D534F">
        <w:rPr>
          <w:rStyle w:val="normaltextrun"/>
          <w:rFonts w:cs="Segoe UI"/>
        </w:rPr>
        <w:t xml:space="preserve"> kader respecteren. Daarbij aansluitend, wanneer </w:t>
      </w:r>
      <w:r w:rsidRPr="00F42225">
        <w:rPr>
          <w:rStyle w:val="normaltextrun"/>
          <w:rFonts w:cs="Segoe UI"/>
          <w:b/>
          <w:bCs/>
        </w:rPr>
        <w:t>de ondernemer</w:t>
      </w:r>
      <w:r w:rsidRPr="003D534F">
        <w:rPr>
          <w:rStyle w:val="normaltextrun"/>
          <w:rFonts w:cs="Segoe UI"/>
        </w:rPr>
        <w:t xml:space="preserve"> om gegronde redenen niet in staat is de door de </w:t>
      </w:r>
      <w:r>
        <w:rPr>
          <w:rStyle w:val="normaltextrun"/>
          <w:rFonts w:cs="Segoe UI"/>
        </w:rPr>
        <w:t>aanbesteder</w:t>
      </w:r>
      <w:r w:rsidRPr="003D534F">
        <w:rPr>
          <w:rStyle w:val="normaltextrun"/>
          <w:rFonts w:cs="Segoe UI"/>
        </w:rPr>
        <w:t xml:space="preserve"> gevraagde referenties over te </w:t>
      </w:r>
      <w:r>
        <w:rPr>
          <w:rStyle w:val="normaltextrun"/>
          <w:rFonts w:cs="Segoe UI"/>
        </w:rPr>
        <w:t>maken</w:t>
      </w:r>
      <w:r w:rsidRPr="003D534F">
        <w:rPr>
          <w:rStyle w:val="normaltextrun"/>
          <w:rFonts w:cs="Segoe UI"/>
        </w:rPr>
        <w:t xml:space="preserve">, </w:t>
      </w:r>
      <w:r w:rsidRPr="00BE15D1">
        <w:rPr>
          <w:rStyle w:val="normaltextrun"/>
          <w:rFonts w:cs="Segoe UI"/>
          <w:b/>
          <w:bCs/>
        </w:rPr>
        <w:t>kan hij zijn economische en financiële draagkracht aantonen met andere documenten die de aanbesteder geschikt acht</w:t>
      </w:r>
      <w:r w:rsidRPr="003D534F">
        <w:rPr>
          <w:rStyle w:val="normaltextrun"/>
          <w:rFonts w:cs="Segoe UI"/>
        </w:rPr>
        <w:t>.</w:t>
      </w:r>
      <w:r w:rsidRPr="003D534F">
        <w:rPr>
          <w:rStyle w:val="eop"/>
          <w:rFonts w:cs="Segoe UI"/>
        </w:rPr>
        <w:t> </w:t>
      </w:r>
    </w:p>
    <w:p w14:paraId="42DBBC32" w14:textId="645A7126" w:rsidR="001C6A2D" w:rsidRPr="003D534F" w:rsidRDefault="001C6A2D" w:rsidP="001C6A2D">
      <w:pPr>
        <w:rPr>
          <w:rStyle w:val="eop"/>
          <w:rFonts w:cs="Segoe UI"/>
        </w:rPr>
      </w:pPr>
      <w:r w:rsidRPr="003D534F">
        <w:rPr>
          <w:rStyle w:val="normaltextrun"/>
          <w:rFonts w:cs="Segoe UI"/>
        </w:rPr>
        <w:t xml:space="preserve">Wanneer </w:t>
      </w:r>
      <w:r w:rsidRPr="001A18AD">
        <w:rPr>
          <w:rStyle w:val="normaltextrun"/>
          <w:rFonts w:cs="Segoe UI"/>
        </w:rPr>
        <w:t xml:space="preserve">een opdracht in percelen is onderverdeeld, geldt dit artikel voor elk afzonderlijk perceel, zie ook principe 6. De </w:t>
      </w:r>
      <w:r w:rsidR="005A18EC" w:rsidRPr="001A18AD">
        <w:rPr>
          <w:rStyle w:val="normaltextrun"/>
          <w:rFonts w:cs="Segoe UI"/>
        </w:rPr>
        <w:t>aanbesteder</w:t>
      </w:r>
      <w:r w:rsidRPr="001A18AD">
        <w:rPr>
          <w:rStyle w:val="normaltextrun"/>
          <w:rFonts w:cs="Segoe UI"/>
        </w:rPr>
        <w:t xml:space="preserve"> kan echter de eis van een verplichte minimumjaaromzet voor ondernemers wel vaststellen</w:t>
      </w:r>
      <w:r w:rsidRPr="003D534F">
        <w:rPr>
          <w:rStyle w:val="normaltextrun"/>
          <w:rFonts w:cs="Segoe UI"/>
        </w:rPr>
        <w:t xml:space="preserve"> ten aanzien van groepen van percelen, ingeval de begunstigde inschrijver verschillende percelen gegund krijgt die tegelijkertijd moeten worden uitgevoerd.</w:t>
      </w:r>
    </w:p>
    <w:p w14:paraId="71919A84" w14:textId="77777777" w:rsidR="001C6A2D" w:rsidRPr="002A7502" w:rsidRDefault="001C6A2D" w:rsidP="001C6A2D">
      <w:pPr>
        <w:rPr>
          <w:rStyle w:val="normaltextrun"/>
          <w:rFonts w:cs="Segoe UI"/>
          <w:b/>
          <w:bCs/>
          <w:color w:val="0070C0"/>
        </w:rPr>
      </w:pPr>
      <w:r w:rsidRPr="002A7502">
        <w:rPr>
          <w:rStyle w:val="normaltextrun"/>
          <w:rFonts w:cs="Segoe UI"/>
          <w:b/>
          <w:bCs/>
          <w:color w:val="0070C0"/>
        </w:rPr>
        <w:t xml:space="preserve">Aangezien het gebruik van een verklaring over de omzet een vaak terugkerende frustratie is van de ondernemingswereld, wordt in wat volgt daarop dieper ingegaan. </w:t>
      </w:r>
    </w:p>
    <w:p w14:paraId="63CC37E9" w14:textId="77777777" w:rsidR="001C6A2D" w:rsidRPr="003D534F" w:rsidRDefault="001C6A2D" w:rsidP="001C6A2D">
      <w:r>
        <w:rPr>
          <w:rStyle w:val="normaltextrun"/>
          <w:rFonts w:cs="Segoe UI"/>
        </w:rPr>
        <w:t>Meer precies stelt d</w:t>
      </w:r>
      <w:r w:rsidRPr="003D534F">
        <w:rPr>
          <w:rStyle w:val="normaltextrun"/>
          <w:rFonts w:cs="Segoe UI"/>
        </w:rPr>
        <w:t>e wetgeving overheidsopdrachten</w:t>
      </w:r>
      <w:r>
        <w:rPr>
          <w:rStyle w:val="normaltextrun"/>
          <w:rFonts w:cs="Segoe UI"/>
        </w:rPr>
        <w:t xml:space="preserve"> over een verklaring inzake de omzet</w:t>
      </w:r>
      <w:r w:rsidRPr="003D534F">
        <w:rPr>
          <w:rStyle w:val="normaltextrun"/>
          <w:rFonts w:cs="Segoe UI"/>
        </w:rPr>
        <w:t xml:space="preserve"> dat </w:t>
      </w:r>
      <w:r w:rsidRPr="003D534F">
        <w:rPr>
          <w:rStyle w:val="eop"/>
          <w:rFonts w:cs="Segoe UI"/>
        </w:rPr>
        <w:t> </w:t>
      </w:r>
    </w:p>
    <w:p w14:paraId="2C89D98F" w14:textId="6A95D339" w:rsidR="001C6A2D" w:rsidRPr="003D534F" w:rsidRDefault="001C6A2D">
      <w:pPr>
        <w:pStyle w:val="Lijstnummering"/>
        <w:numPr>
          <w:ilvl w:val="0"/>
          <w:numId w:val="29"/>
        </w:numPr>
        <w:tabs>
          <w:tab w:val="clear" w:pos="360"/>
          <w:tab w:val="num" w:pos="284"/>
        </w:tabs>
        <w:ind w:left="284" w:hanging="284"/>
      </w:pPr>
      <w:r w:rsidRPr="001C6A2D">
        <w:rPr>
          <w:rStyle w:val="normaltextrun"/>
          <w:rFonts w:cs="Segoe UI"/>
          <w:szCs w:val="20"/>
        </w:rPr>
        <w:t xml:space="preserve">de verklaring over ten hoogste de laatste drie beschikbare boekjaren kan handelen, afhankelijk van de oprichtingsdatum of van de datum waarop de ondernemer met zijn bedrijvigheid is begonnen, voor zover de betrokken omzetcijfers beschikbaar zijn. </w:t>
      </w:r>
      <w:r w:rsidRPr="001C6A2D">
        <w:rPr>
          <w:rStyle w:val="normaltextrun"/>
          <w:rFonts w:cs="Segoe UI"/>
          <w:i/>
          <w:iCs/>
          <w:szCs w:val="20"/>
        </w:rPr>
        <w:t>De term “beschikb</w:t>
      </w:r>
      <w:r w:rsidR="0045022E">
        <w:rPr>
          <w:rStyle w:val="normaltextrun"/>
          <w:rFonts w:cs="Segoe UI"/>
          <w:i/>
          <w:iCs/>
          <w:szCs w:val="20"/>
        </w:rPr>
        <w:t>a</w:t>
      </w:r>
      <w:r w:rsidRPr="001C6A2D">
        <w:rPr>
          <w:rStyle w:val="normaltextrun"/>
          <w:rFonts w:cs="Segoe UI"/>
          <w:i/>
          <w:iCs/>
          <w:szCs w:val="20"/>
        </w:rPr>
        <w:t>ar” moet toelaten dat onder meer nieuwe bedrijven, die nog geen drie jaar actief zijn, kunnen deelnemen</w:t>
      </w:r>
      <w:r w:rsidRPr="001C6A2D">
        <w:rPr>
          <w:rStyle w:val="normaltextrun"/>
          <w:rFonts w:cs="Segoe UI"/>
          <w:szCs w:val="20"/>
        </w:rPr>
        <w:t>.</w:t>
      </w:r>
      <w:r w:rsidRPr="001C6A2D">
        <w:rPr>
          <w:rStyle w:val="eop"/>
          <w:rFonts w:cs="Segoe UI"/>
          <w:szCs w:val="20"/>
        </w:rPr>
        <w:t> </w:t>
      </w:r>
    </w:p>
    <w:p w14:paraId="3F6C1CB7" w14:textId="77777777" w:rsidR="001C6A2D" w:rsidRPr="003D534F" w:rsidRDefault="001C6A2D">
      <w:pPr>
        <w:pStyle w:val="Lijstnummering"/>
      </w:pPr>
      <w:r w:rsidRPr="003D534F">
        <w:rPr>
          <w:rStyle w:val="normaltextrun"/>
          <w:rFonts w:cs="Segoe UI"/>
          <w:szCs w:val="20"/>
        </w:rPr>
        <w:t xml:space="preserve">als de aanbesteder dergelijke referentie vraagt, de </w:t>
      </w:r>
      <w:r w:rsidRPr="004D6254">
        <w:rPr>
          <w:rStyle w:val="normaltextrun"/>
          <w:rFonts w:cs="Segoe UI"/>
          <w:szCs w:val="20"/>
        </w:rPr>
        <w:t xml:space="preserve">aanbesteder hieraan ook een minimaal niveau moet verbinden waarbij er </w:t>
      </w:r>
      <w:r w:rsidRPr="004D6254">
        <w:rPr>
          <w:rStyle w:val="normaltextrun"/>
          <w:rFonts w:cs="Segoe UI"/>
          <w:i/>
          <w:iCs/>
          <w:szCs w:val="20"/>
        </w:rPr>
        <w:t>een zeker evenwicht dient te zijn tussen de vereiste</w:t>
      </w:r>
      <w:r w:rsidRPr="00D7761C">
        <w:rPr>
          <w:rStyle w:val="normaltextrun"/>
          <w:rFonts w:cs="Segoe UI"/>
          <w:i/>
          <w:iCs/>
          <w:szCs w:val="20"/>
        </w:rPr>
        <w:t xml:space="preserve"> omzet en de waarde van de desbetreffende overheidsopdracht</w:t>
      </w:r>
      <w:r w:rsidRPr="003D534F">
        <w:rPr>
          <w:rStyle w:val="normaltextrun"/>
          <w:rFonts w:cs="Segoe UI"/>
          <w:szCs w:val="20"/>
        </w:rPr>
        <w:t>. Er moet dus een jaarlijkse minimumomzet geformuleerd worden die de aanbesteder van de ondernemers verwacht.</w:t>
      </w:r>
      <w:r w:rsidRPr="003D534F">
        <w:rPr>
          <w:rStyle w:val="eop"/>
          <w:rFonts w:cs="Segoe UI"/>
          <w:szCs w:val="20"/>
        </w:rPr>
        <w:t> </w:t>
      </w:r>
    </w:p>
    <w:p w14:paraId="3196632F" w14:textId="139DF921" w:rsidR="001C6A2D" w:rsidRPr="003D534F" w:rsidRDefault="001C6A2D">
      <w:pPr>
        <w:pStyle w:val="Lijstnummering"/>
      </w:pPr>
      <w:r w:rsidRPr="003D534F">
        <w:rPr>
          <w:rStyle w:val="normaltextrun"/>
          <w:rFonts w:cs="Segoe UI"/>
          <w:szCs w:val="20"/>
        </w:rPr>
        <w:t xml:space="preserve">die </w:t>
      </w:r>
      <w:r w:rsidRPr="00D7761C">
        <w:rPr>
          <w:rStyle w:val="normaltextrun"/>
          <w:rFonts w:cs="Segoe UI"/>
          <w:b/>
          <w:bCs/>
          <w:szCs w:val="20"/>
        </w:rPr>
        <w:t>jaarlijkse minimumomzet die van de ondernemers kan worden geëist, maximaal twee keer de geraamde waarde van de overheidsopdracht bedraagt</w:t>
      </w:r>
      <w:r w:rsidRPr="003D534F">
        <w:rPr>
          <w:rStyle w:val="normaltextrun"/>
          <w:rFonts w:cs="Segoe UI"/>
          <w:szCs w:val="20"/>
        </w:rPr>
        <w:t>, behalve in naar behoren gemotiveerde gevallen</w:t>
      </w:r>
      <w:r w:rsidRPr="00234229">
        <w:rPr>
          <w:rStyle w:val="Voetnootmarkering"/>
          <w:rFonts w:eastAsiaTheme="majorEastAsia"/>
          <w:i/>
          <w:szCs w:val="20"/>
        </w:rPr>
        <w:footnoteReference w:id="6"/>
      </w:r>
      <w:r>
        <w:rPr>
          <w:rStyle w:val="normaltextrun"/>
          <w:rFonts w:cs="Segoe UI"/>
          <w:szCs w:val="20"/>
        </w:rPr>
        <w:t>.</w:t>
      </w:r>
      <w:r w:rsidRPr="003D534F">
        <w:rPr>
          <w:rStyle w:val="eop"/>
          <w:rFonts w:cs="Segoe UI"/>
          <w:szCs w:val="20"/>
        </w:rPr>
        <w:t> </w:t>
      </w:r>
    </w:p>
    <w:p w14:paraId="1E6BE465" w14:textId="20CB1620" w:rsidR="001C6A2D" w:rsidRDefault="001C6A2D" w:rsidP="001C6A2D">
      <w:pPr>
        <w:rPr>
          <w:rStyle w:val="normaltextrun"/>
          <w:rFonts w:cs="Segoe UI"/>
        </w:rPr>
      </w:pPr>
      <w:r w:rsidRPr="002A7502">
        <w:rPr>
          <w:rStyle w:val="normaltextrun"/>
          <w:rFonts w:cs="Segoe UI"/>
          <w:b/>
          <w:bCs/>
          <w:color w:val="0070C0"/>
        </w:rPr>
        <w:lastRenderedPageBreak/>
        <w:t>De aanbesteder dient er zich van bewust te zijn dat het</w:t>
      </w:r>
      <w:r w:rsidR="001452AD">
        <w:rPr>
          <w:rStyle w:val="normaltextrun"/>
          <w:rFonts w:cs="Segoe UI"/>
          <w:b/>
          <w:bCs/>
          <w:color w:val="0070C0"/>
        </w:rPr>
        <w:t xml:space="preserve"> stelselmatig</w:t>
      </w:r>
      <w:r w:rsidRPr="002A7502">
        <w:rPr>
          <w:rStyle w:val="normaltextrun"/>
          <w:rFonts w:cs="Segoe UI"/>
          <w:b/>
          <w:bCs/>
          <w:color w:val="0070C0"/>
        </w:rPr>
        <w:t xml:space="preserve"> eisen van een serieuze minimumomzet een zware en negatieve impact zal hebben op de mededinging.</w:t>
      </w:r>
      <w:r w:rsidRPr="002A7502">
        <w:rPr>
          <w:rStyle w:val="normaltextrun"/>
          <w:rFonts w:cs="Segoe UI"/>
          <w:color w:val="0070C0"/>
        </w:rPr>
        <w:t xml:space="preserve"> </w:t>
      </w:r>
      <w:r w:rsidRPr="003D534F">
        <w:rPr>
          <w:rStyle w:val="normaltextrun"/>
          <w:rFonts w:cs="Segoe UI"/>
        </w:rPr>
        <w:t>Niet alleen is een dergelijke eis problematisch voor startende bedrijven, België wordt daarnaast gekenmerkt door een breed kmo-landschap dat voornamelijk uit micro- en kleine ondernemingen bestaat. Die kleinere ondernemingsgroottes zullen vaak problemen ondervinden om te kunnen participeren.</w:t>
      </w:r>
    </w:p>
    <w:p w14:paraId="3F606995" w14:textId="50B6852F" w:rsidR="00F55181" w:rsidRPr="003D534F" w:rsidRDefault="00F55181" w:rsidP="00F55181">
      <w:r w:rsidRPr="00065854">
        <w:rPr>
          <w:rStyle w:val="normaltextrun"/>
          <w:rFonts w:cs="Segoe UI"/>
          <w:b/>
          <w:bCs/>
        </w:rPr>
        <w:t xml:space="preserve">Bovendien is het </w:t>
      </w:r>
      <w:r w:rsidR="00EE3844">
        <w:rPr>
          <w:rStyle w:val="normaltextrun"/>
          <w:rFonts w:cs="Segoe UI"/>
          <w:b/>
          <w:bCs/>
        </w:rPr>
        <w:t>behalen</w:t>
      </w:r>
      <w:r w:rsidR="00EE3844" w:rsidRPr="00065854">
        <w:rPr>
          <w:rStyle w:val="normaltextrun"/>
          <w:rFonts w:cs="Segoe UI"/>
          <w:b/>
          <w:bCs/>
        </w:rPr>
        <w:t xml:space="preserve"> </w:t>
      </w:r>
      <w:r w:rsidRPr="00065854">
        <w:rPr>
          <w:rStyle w:val="normaltextrun"/>
          <w:rFonts w:cs="Segoe UI"/>
          <w:b/>
          <w:bCs/>
        </w:rPr>
        <w:t xml:space="preserve">van een bepaalde omzet geen </w:t>
      </w:r>
      <w:r w:rsidRPr="00E63F07">
        <w:rPr>
          <w:rStyle w:val="normaltextrun"/>
          <w:rFonts w:cs="Segoe UI"/>
          <w:b/>
          <w:bCs/>
          <w:i/>
          <w:iCs/>
        </w:rPr>
        <w:t>automatische</w:t>
      </w:r>
      <w:r w:rsidRPr="00065854">
        <w:rPr>
          <w:rStyle w:val="normaltextrun"/>
          <w:rFonts w:cs="Segoe UI"/>
          <w:b/>
          <w:bCs/>
        </w:rPr>
        <w:t xml:space="preserve"> garantie voor het correct kunnen uitvoeren van een opdracht</w:t>
      </w:r>
      <w:r w:rsidRPr="003D534F">
        <w:rPr>
          <w:rStyle w:val="normaltextrun"/>
          <w:rFonts w:cs="Segoe UI"/>
        </w:rPr>
        <w:t>. Daarbij aansluitend mag de aanbesteder niet vergeten dat in bepaalde economische sectoren, gezien de aard van de activiteit, automatisch een grote omzet gegenereerd wordt. Het omgekeerde geldt dan weer voor andere sectoren: de omzet is eerder periodiek en daarom misleidend laag, wat aanleiding geeft tot misvattingen over de kwaliteit van de onderneming</w:t>
      </w:r>
      <w:r w:rsidR="00944BD2">
        <w:rPr>
          <w:rStyle w:val="normaltextrun"/>
          <w:rFonts w:cs="Segoe UI"/>
        </w:rPr>
        <w:t xml:space="preserve"> en problemen geeft bij hoge eisen inzake minimumomzet</w:t>
      </w:r>
      <w:r w:rsidRPr="003D534F">
        <w:rPr>
          <w:rStyle w:val="normaltextrun"/>
          <w:rFonts w:cs="Segoe UI"/>
        </w:rPr>
        <w:t>.</w:t>
      </w:r>
      <w:r w:rsidR="00717FFC">
        <w:rPr>
          <w:rStyle w:val="normaltextrun"/>
          <w:rFonts w:cs="Segoe UI"/>
        </w:rPr>
        <w:t xml:space="preserve"> </w:t>
      </w:r>
      <w:r w:rsidR="0076684E">
        <w:rPr>
          <w:rStyle w:val="normaltextrun"/>
          <w:rFonts w:cs="Segoe UI"/>
        </w:rPr>
        <w:t>Ook</w:t>
      </w:r>
      <w:r w:rsidR="007A1AD7">
        <w:rPr>
          <w:rStyle w:val="normaltextrun"/>
          <w:rFonts w:cs="Segoe UI"/>
        </w:rPr>
        <w:t xml:space="preserve"> kan de aard </w:t>
      </w:r>
      <w:r w:rsidR="0058455B">
        <w:rPr>
          <w:rStyle w:val="normaltextrun"/>
          <w:rFonts w:cs="Segoe UI"/>
        </w:rPr>
        <w:t xml:space="preserve">en </w:t>
      </w:r>
      <w:r w:rsidR="00356CDE">
        <w:rPr>
          <w:rStyle w:val="normaltextrun"/>
          <w:rFonts w:cs="Segoe UI"/>
        </w:rPr>
        <w:t xml:space="preserve">dus </w:t>
      </w:r>
      <w:r w:rsidR="0058455B">
        <w:rPr>
          <w:rStyle w:val="normaltextrun"/>
          <w:rFonts w:cs="Segoe UI"/>
        </w:rPr>
        <w:t xml:space="preserve">de hoogte </w:t>
      </w:r>
      <w:r w:rsidR="007A1AD7">
        <w:rPr>
          <w:rStyle w:val="normaltextrun"/>
          <w:rFonts w:cs="Segoe UI"/>
        </w:rPr>
        <w:t xml:space="preserve">van de omzet verschillen volgens type product of dienst binnen eenzelfde sector. </w:t>
      </w:r>
      <w:r w:rsidR="00717FFC">
        <w:rPr>
          <w:rStyle w:val="normaltextrun"/>
          <w:rFonts w:cs="Segoe UI"/>
        </w:rPr>
        <w:t xml:space="preserve">Een grondige marktverkenning blijkt opnieuw cruciaal. </w:t>
      </w:r>
      <w:r w:rsidRPr="003D534F">
        <w:rPr>
          <w:rStyle w:val="normaltextrun"/>
          <w:rFonts w:cs="Segoe UI"/>
        </w:rPr>
        <w:t> </w:t>
      </w:r>
      <w:r w:rsidRPr="003D534F">
        <w:rPr>
          <w:rStyle w:val="eop"/>
          <w:rFonts w:cs="Segoe UI"/>
        </w:rPr>
        <w:t> </w:t>
      </w:r>
    </w:p>
    <w:p w14:paraId="74BC9E56" w14:textId="2D864AD2" w:rsidR="00F55181" w:rsidRPr="003D534F" w:rsidRDefault="00F55181" w:rsidP="00F55181">
      <w:r w:rsidRPr="009D2D16">
        <w:rPr>
          <w:rStyle w:val="normaltextrun"/>
          <w:rFonts w:cs="Segoe UI"/>
          <w:b/>
          <w:bCs/>
          <w:color w:val="0070C0"/>
        </w:rPr>
        <w:t>Er moet met andere woorden heel zorgvuldig omgesprongen worden met die vereiste</w:t>
      </w:r>
      <w:r w:rsidRPr="003D534F">
        <w:rPr>
          <w:rStyle w:val="normaltextrun"/>
          <w:rFonts w:cs="Segoe UI"/>
        </w:rPr>
        <w:t xml:space="preserve">: </w:t>
      </w:r>
      <w:r w:rsidR="00141792">
        <w:rPr>
          <w:rStyle w:val="normaltextrun"/>
          <w:rFonts w:cs="Segoe UI"/>
        </w:rPr>
        <w:t xml:space="preserve">enkel </w:t>
      </w:r>
      <w:r w:rsidR="007B7194">
        <w:rPr>
          <w:rStyle w:val="normaltextrun"/>
          <w:rFonts w:cs="Segoe UI"/>
        </w:rPr>
        <w:t>wanneer</w:t>
      </w:r>
      <w:r w:rsidR="00141792">
        <w:rPr>
          <w:rStyle w:val="normaltextrun"/>
          <w:rFonts w:cs="Segoe UI"/>
        </w:rPr>
        <w:t xml:space="preserve"> een marktverkenning, al dan niet in combinatie met eerdere ervaring, uitwijst dat een dergelijke</w:t>
      </w:r>
      <w:r w:rsidR="009D2D16">
        <w:rPr>
          <w:rStyle w:val="normaltextrun"/>
          <w:rFonts w:cs="Segoe UI"/>
        </w:rPr>
        <w:t xml:space="preserve"> vereiste een toegevoegde waarde </w:t>
      </w:r>
      <w:r w:rsidR="00F201CC">
        <w:rPr>
          <w:rStyle w:val="normaltextrun"/>
          <w:rFonts w:cs="Segoe UI"/>
        </w:rPr>
        <w:t>biedt</w:t>
      </w:r>
      <w:r w:rsidR="009D2D16">
        <w:rPr>
          <w:rStyle w:val="normaltextrun"/>
          <w:rFonts w:cs="Segoe UI"/>
        </w:rPr>
        <w:t xml:space="preserve">, is het aangewezen om er gebruik van te maken. </w:t>
      </w:r>
      <w:r w:rsidRPr="00413458">
        <w:rPr>
          <w:rStyle w:val="normaltextrun"/>
          <w:rFonts w:cs="Segoe UI"/>
          <w:b/>
          <w:bCs/>
        </w:rPr>
        <w:t>Gebruik maken van de wettelijke uitzondering voor het maximale bedrag</w:t>
      </w:r>
      <w:r w:rsidRPr="003D534F">
        <w:rPr>
          <w:rStyle w:val="normaltextrun"/>
          <w:rFonts w:cs="Segoe UI"/>
        </w:rPr>
        <w:t xml:space="preserve"> voor de jaarlijkse minimumomzet kan enkel in</w:t>
      </w:r>
      <w:r w:rsidR="00AE2C4A">
        <w:rPr>
          <w:rStyle w:val="normaltextrun"/>
          <w:rFonts w:cs="Segoe UI"/>
        </w:rPr>
        <w:t xml:space="preserve"> echt</w:t>
      </w:r>
      <w:r w:rsidRPr="003D534F">
        <w:rPr>
          <w:rStyle w:val="normaltextrun"/>
          <w:rFonts w:cs="Segoe UI"/>
        </w:rPr>
        <w:t xml:space="preserve"> uitzonderlijke gevallen en moet in alle andere gevallen als een (niet-wettelijke) </w:t>
      </w:r>
      <w:r w:rsidRPr="0029562E">
        <w:rPr>
          <w:rStyle w:val="normaltextrun"/>
          <w:rFonts w:cs="Segoe UI"/>
          <w:b/>
          <w:bCs/>
          <w:color w:val="C00000"/>
        </w:rPr>
        <w:t>bad practice beschouwd worden</w:t>
      </w:r>
      <w:r w:rsidRPr="003D534F">
        <w:rPr>
          <w:rStyle w:val="normaltextrun"/>
          <w:rFonts w:cs="Segoe UI"/>
        </w:rPr>
        <w:t>. </w:t>
      </w:r>
      <w:r w:rsidRPr="003D534F">
        <w:rPr>
          <w:rStyle w:val="eop"/>
          <w:rFonts w:cs="Segoe UI"/>
        </w:rPr>
        <w:t> </w:t>
      </w:r>
    </w:p>
    <w:p w14:paraId="128013FF" w14:textId="4DAB810F" w:rsidR="00F55181" w:rsidRDefault="00F55181" w:rsidP="00F55181">
      <w:pPr>
        <w:rPr>
          <w:rStyle w:val="normaltextrun"/>
          <w:rFonts w:cs="Segoe UI"/>
        </w:rPr>
      </w:pPr>
      <w:r w:rsidRPr="00927AF0">
        <w:rPr>
          <w:rStyle w:val="normaltextrun"/>
          <w:rFonts w:cs="Segoe UI"/>
        </w:rPr>
        <w:t xml:space="preserve">Over het gebruik van de </w:t>
      </w:r>
      <w:r w:rsidRPr="00927AF0">
        <w:rPr>
          <w:rStyle w:val="normaltextrun"/>
          <w:rFonts w:cs="Segoe UI"/>
          <w:b/>
          <w:bCs/>
        </w:rPr>
        <w:t>bankverklaring</w:t>
      </w:r>
      <w:r w:rsidRPr="00927AF0">
        <w:rPr>
          <w:rStyle w:val="normaltextrun"/>
          <w:rFonts w:cs="Segoe UI"/>
        </w:rPr>
        <w:t xml:space="preserve"> merken we op dat</w:t>
      </w:r>
      <w:r w:rsidRPr="003D534F">
        <w:rPr>
          <w:rStyle w:val="normaltextrun"/>
          <w:rFonts w:cs="Segoe UI"/>
        </w:rPr>
        <w:t xml:space="preserve"> </w:t>
      </w:r>
      <w:r>
        <w:rPr>
          <w:rStyle w:val="normaltextrun"/>
          <w:rFonts w:cs="Segoe UI"/>
        </w:rPr>
        <w:t>die optie</w:t>
      </w:r>
      <w:r w:rsidRPr="003D534F">
        <w:rPr>
          <w:rStyle w:val="normaltextrun"/>
          <w:rFonts w:cs="Segoe UI"/>
        </w:rPr>
        <w:t xml:space="preserve"> </w:t>
      </w:r>
      <w:r>
        <w:rPr>
          <w:rStyle w:val="normaltextrun"/>
          <w:rFonts w:cs="Segoe UI"/>
        </w:rPr>
        <w:t>bestaat</w:t>
      </w:r>
      <w:r w:rsidRPr="003D534F">
        <w:rPr>
          <w:rStyle w:val="normaltextrun"/>
          <w:rFonts w:cs="Segoe UI"/>
        </w:rPr>
        <w:t xml:space="preserve">, hoewel het nut van </w:t>
      </w:r>
      <w:r>
        <w:rPr>
          <w:rStyle w:val="normaltextrun"/>
          <w:rFonts w:cs="Segoe UI"/>
        </w:rPr>
        <w:t xml:space="preserve">een </w:t>
      </w:r>
      <w:r w:rsidRPr="003D534F">
        <w:rPr>
          <w:rStyle w:val="normaltextrun"/>
          <w:rFonts w:cs="Segoe UI"/>
        </w:rPr>
        <w:t xml:space="preserve">dergelijke verklaring betwistbaar is. De bankverklaring moet immers worden opgesteld volgens een verplicht model in </w:t>
      </w:r>
      <w:r>
        <w:rPr>
          <w:rStyle w:val="normaltextrun"/>
          <w:rFonts w:cs="Segoe UI"/>
        </w:rPr>
        <w:t>b</w:t>
      </w:r>
      <w:r w:rsidRPr="003D534F">
        <w:rPr>
          <w:rStyle w:val="normaltextrun"/>
          <w:rFonts w:cs="Segoe UI"/>
        </w:rPr>
        <w:t xml:space="preserve">ijlage 11 van het </w:t>
      </w:r>
      <w:r w:rsidR="006C37EF">
        <w:rPr>
          <w:rStyle w:val="normaltextrun"/>
          <w:rFonts w:cs="Segoe UI"/>
        </w:rPr>
        <w:t>KB</w:t>
      </w:r>
      <w:r>
        <w:rPr>
          <w:rStyle w:val="normaltextrun"/>
          <w:rFonts w:cs="Segoe UI"/>
        </w:rPr>
        <w:t xml:space="preserve"> van </w:t>
      </w:r>
      <w:hyperlink r:id="rId84" w:history="1">
        <w:r w:rsidRPr="00DC3B66">
          <w:rPr>
            <w:rStyle w:val="Hyperlink"/>
            <w:rFonts w:cs="Segoe UI"/>
          </w:rPr>
          <w:t>18 april 2017</w:t>
        </w:r>
      </w:hyperlink>
      <w:r w:rsidRPr="003D534F">
        <w:rPr>
          <w:rStyle w:val="normaltextrun"/>
          <w:rFonts w:cs="Segoe UI"/>
        </w:rPr>
        <w:t>, waarin de bank enkel bevestigt dat inschrijver X een klant is bij de bank en naar hun mening over de nodige financiële en economische draagkracht beschikt om de bewuste overheidsopdracht te kunnen uitvoeren.</w:t>
      </w:r>
    </w:p>
    <w:p w14:paraId="4E5ABD45" w14:textId="301966D9" w:rsidR="00F55181" w:rsidRDefault="00F55181" w:rsidP="00F55181">
      <w:pPr>
        <w:rPr>
          <w:rStyle w:val="normaltextrun"/>
          <w:rFonts w:cs="Segoe UI"/>
        </w:rPr>
      </w:pPr>
      <w:r w:rsidRPr="003D534F">
        <w:rPr>
          <w:rStyle w:val="normaltextrun"/>
          <w:rFonts w:cs="Segoe UI"/>
        </w:rPr>
        <w:t xml:space="preserve">Deze bevestiging houdt echter geen engagement van de bank in om de betrokken inschrijver desgevallend de nodige financiële middelen ter beschikking te stellen. Daarenboven bevat dit document ook geen concrete cijfergegevens, wat tot gevolg heeft dat het niet mogelijk is een gepast niveau te bepalen </w:t>
      </w:r>
      <w:r>
        <w:rPr>
          <w:rStyle w:val="normaltextrun"/>
          <w:rFonts w:cs="Segoe UI"/>
        </w:rPr>
        <w:t>zoals voorgeschreven door de wetgeving,</w:t>
      </w:r>
      <w:r w:rsidRPr="003D534F">
        <w:rPr>
          <w:rStyle w:val="normaltextrun"/>
          <w:rFonts w:cs="Segoe UI"/>
        </w:rPr>
        <w:t xml:space="preserve"> en de aanbesteder bijgevolg ertoe gehouden zal zijn om naast de bankverklaring een tweede criterium inzake de financiële en economische draagkracht op te nemen. </w:t>
      </w:r>
    </w:p>
    <w:p w14:paraId="0BE45D53" w14:textId="0DA2AFC1" w:rsidR="00A06F36" w:rsidRDefault="00F55181" w:rsidP="00F55181">
      <w:pPr>
        <w:rPr>
          <w:rStyle w:val="normaltextrun"/>
          <w:rFonts w:cs="Segoe UI"/>
        </w:rPr>
      </w:pPr>
      <w:r w:rsidRPr="003D534F">
        <w:rPr>
          <w:rStyle w:val="normaltextrun"/>
          <w:rFonts w:cs="Segoe UI"/>
        </w:rPr>
        <w:t xml:space="preserve">Bovendien </w:t>
      </w:r>
      <w:r w:rsidR="00391D38">
        <w:rPr>
          <w:rStyle w:val="normaltextrun"/>
          <w:rFonts w:cs="Segoe UI"/>
        </w:rPr>
        <w:t>kan</w:t>
      </w:r>
      <w:r w:rsidRPr="003D534F">
        <w:rPr>
          <w:rStyle w:val="normaltextrun"/>
          <w:rFonts w:cs="Segoe UI"/>
        </w:rPr>
        <w:t xml:space="preserve"> de bankverklaring op het vlak van de toegang</w:t>
      </w:r>
      <w:r>
        <w:rPr>
          <w:rStyle w:val="normaltextrun"/>
          <w:rFonts w:cs="Segoe UI"/>
        </w:rPr>
        <w:t xml:space="preserve"> van kmo</w:t>
      </w:r>
      <w:r w:rsidR="00A06F36">
        <w:rPr>
          <w:rStyle w:val="normaltextrun"/>
          <w:rFonts w:cs="Segoe UI"/>
        </w:rPr>
        <w:t>’</w:t>
      </w:r>
      <w:r>
        <w:rPr>
          <w:rStyle w:val="normaltextrun"/>
          <w:rFonts w:cs="Segoe UI"/>
        </w:rPr>
        <w:t>s</w:t>
      </w:r>
      <w:r w:rsidRPr="003D534F">
        <w:rPr>
          <w:rStyle w:val="normaltextrun"/>
          <w:rFonts w:cs="Segoe UI"/>
        </w:rPr>
        <w:t xml:space="preserve"> tot</w:t>
      </w:r>
      <w:r>
        <w:rPr>
          <w:rStyle w:val="normaltextrun"/>
          <w:rFonts w:cs="Segoe UI"/>
        </w:rPr>
        <w:t xml:space="preserve"> </w:t>
      </w:r>
      <w:r w:rsidRPr="003D534F">
        <w:rPr>
          <w:rStyle w:val="normaltextrun"/>
          <w:rFonts w:cs="Segoe UI"/>
        </w:rPr>
        <w:t xml:space="preserve"> overheidsopdrachten een </w:t>
      </w:r>
      <w:r w:rsidRPr="003D534F">
        <w:rPr>
          <w:rStyle w:val="normaltextrun"/>
          <w:rFonts w:cs="Segoe UI"/>
          <w:b/>
          <w:bCs/>
        </w:rPr>
        <w:t>hindernis</w:t>
      </w:r>
      <w:r w:rsidRPr="003D534F">
        <w:rPr>
          <w:rStyle w:val="normaltextrun"/>
          <w:rFonts w:cs="Segoe UI"/>
        </w:rPr>
        <w:t xml:space="preserve"> zijn. Het bekomen van de bankverklaring </w:t>
      </w:r>
      <w:r>
        <w:rPr>
          <w:rStyle w:val="normaltextrun"/>
          <w:rFonts w:cs="Segoe UI"/>
        </w:rPr>
        <w:t>zal</w:t>
      </w:r>
      <w:r w:rsidRPr="003D534F">
        <w:rPr>
          <w:rStyle w:val="normaltextrun"/>
          <w:rFonts w:cs="Segoe UI"/>
        </w:rPr>
        <w:t xml:space="preserve"> immers gepaard gaan met</w:t>
      </w:r>
      <w:r>
        <w:rPr>
          <w:rStyle w:val="normaltextrun"/>
          <w:rFonts w:cs="Segoe UI"/>
        </w:rPr>
        <w:t xml:space="preserve"> formaliteiten en</w:t>
      </w:r>
      <w:r w:rsidRPr="003D534F">
        <w:rPr>
          <w:rStyle w:val="normaltextrun"/>
          <w:rFonts w:cs="Segoe UI"/>
        </w:rPr>
        <w:t xml:space="preserve"> </w:t>
      </w:r>
      <w:r>
        <w:rPr>
          <w:rStyle w:val="normaltextrun"/>
          <w:rFonts w:cs="Segoe UI"/>
        </w:rPr>
        <w:t xml:space="preserve">er kunnen </w:t>
      </w:r>
      <w:r w:rsidRPr="003D534F">
        <w:rPr>
          <w:rStyle w:val="normaltextrun"/>
          <w:rFonts w:cs="Segoe UI"/>
        </w:rPr>
        <w:t>kosten aangerekend</w:t>
      </w:r>
      <w:r>
        <w:rPr>
          <w:rStyle w:val="normaltextrun"/>
          <w:rFonts w:cs="Segoe UI"/>
        </w:rPr>
        <w:t xml:space="preserve"> worden</w:t>
      </w:r>
      <w:r w:rsidRPr="003D534F">
        <w:rPr>
          <w:rStyle w:val="normaltextrun"/>
          <w:rFonts w:cs="Segoe UI"/>
        </w:rPr>
        <w:t xml:space="preserve"> door de bankinstelling.</w:t>
      </w:r>
    </w:p>
    <w:p w14:paraId="67AC0029" w14:textId="6B9C7918" w:rsidR="00F55181" w:rsidRPr="003D534F" w:rsidRDefault="00F2493D" w:rsidP="00F55181">
      <w:r>
        <w:rPr>
          <w:rStyle w:val="normaltextrun"/>
          <w:rFonts w:cs="Segoe UI"/>
        </w:rPr>
        <w:t>Kortom,</w:t>
      </w:r>
      <w:r w:rsidR="00A06F36">
        <w:rPr>
          <w:rStyle w:val="normaltextrun"/>
          <w:rFonts w:cs="Segoe UI"/>
        </w:rPr>
        <w:t xml:space="preserve"> het gebruik van een bankverklaring</w:t>
      </w:r>
      <w:r>
        <w:rPr>
          <w:rStyle w:val="normaltextrun"/>
          <w:rFonts w:cs="Segoe UI"/>
        </w:rPr>
        <w:t xml:space="preserve"> </w:t>
      </w:r>
      <w:r w:rsidR="00F328AD">
        <w:rPr>
          <w:rStyle w:val="normaltextrun"/>
          <w:rFonts w:cs="Segoe UI"/>
        </w:rPr>
        <w:t>is meestal van</w:t>
      </w:r>
      <w:r w:rsidR="00C6578D">
        <w:rPr>
          <w:rStyle w:val="normaltextrun"/>
          <w:rFonts w:cs="Segoe UI"/>
        </w:rPr>
        <w:t xml:space="preserve"> </w:t>
      </w:r>
      <w:r w:rsidR="00A73DE1">
        <w:rPr>
          <w:rStyle w:val="normaltextrun"/>
          <w:rFonts w:cs="Segoe UI"/>
        </w:rPr>
        <w:t>weinig nut</w:t>
      </w:r>
      <w:r w:rsidR="00C62CF6">
        <w:rPr>
          <w:rStyle w:val="normaltextrun"/>
          <w:rFonts w:cs="Segoe UI"/>
        </w:rPr>
        <w:t xml:space="preserve"> en </w:t>
      </w:r>
      <w:r w:rsidR="00CE535E">
        <w:rPr>
          <w:rStyle w:val="normaltextrun"/>
          <w:rFonts w:cs="Segoe UI"/>
        </w:rPr>
        <w:t xml:space="preserve">is </w:t>
      </w:r>
      <w:r w:rsidR="0070281C">
        <w:rPr>
          <w:rStyle w:val="normaltextrun"/>
          <w:rFonts w:cs="Segoe UI"/>
        </w:rPr>
        <w:t xml:space="preserve">dus </w:t>
      </w:r>
      <w:r>
        <w:rPr>
          <w:rStyle w:val="normaltextrun"/>
          <w:rFonts w:cs="Segoe UI"/>
        </w:rPr>
        <w:t>eerder af te raden.</w:t>
      </w:r>
      <w:r w:rsidR="00F55181" w:rsidRPr="003D534F">
        <w:rPr>
          <w:rStyle w:val="eop"/>
          <w:rFonts w:cs="Segoe UI"/>
        </w:rPr>
        <w:t> </w:t>
      </w:r>
    </w:p>
    <w:p w14:paraId="38F94B58" w14:textId="6A9B22D7" w:rsidR="001C6A2D" w:rsidRDefault="00F148B1" w:rsidP="00F148B1">
      <w:pPr>
        <w:pStyle w:val="Kop4"/>
        <w:rPr>
          <w:lang w:val="nl-BE"/>
        </w:rPr>
      </w:pPr>
      <w:r w:rsidRPr="00F148B1">
        <w:rPr>
          <w:lang w:val="nl-BE"/>
        </w:rPr>
        <w:t>Selectiecriteria: de technische en b</w:t>
      </w:r>
      <w:r>
        <w:rPr>
          <w:lang w:val="nl-BE"/>
        </w:rPr>
        <w:t>eroepsbekwaamheid</w:t>
      </w:r>
    </w:p>
    <w:p w14:paraId="1735357F" w14:textId="283B6CC5" w:rsidR="00710369" w:rsidRDefault="00710369" w:rsidP="00710369">
      <w:pPr>
        <w:rPr>
          <w:rStyle w:val="eop"/>
        </w:rPr>
      </w:pPr>
      <w:r w:rsidRPr="003D534F">
        <w:rPr>
          <w:rStyle w:val="normaltextrun"/>
        </w:rPr>
        <w:t>De derde mogelijkheid</w:t>
      </w:r>
      <w:r w:rsidR="002F16CC">
        <w:rPr>
          <w:rStyle w:val="normaltextrun"/>
        </w:rPr>
        <w:t>,</w:t>
      </w:r>
      <w:r w:rsidRPr="003D534F">
        <w:rPr>
          <w:rStyle w:val="normaltextrun"/>
        </w:rPr>
        <w:t xml:space="preserve"> vermeld door artikel 71 van de wet</w:t>
      </w:r>
      <w:r w:rsidR="002F16CC">
        <w:rPr>
          <w:rStyle w:val="normaltextrun"/>
        </w:rPr>
        <w:t>,</w:t>
      </w:r>
      <w:r w:rsidRPr="003D534F">
        <w:rPr>
          <w:rStyle w:val="normaltextrun"/>
        </w:rPr>
        <w:t xml:space="preserve"> is die van de technische en beroepsbekwaamheid. Daar</w:t>
      </w:r>
      <w:r>
        <w:rPr>
          <w:rStyle w:val="normaltextrun"/>
        </w:rPr>
        <w:t>d</w:t>
      </w:r>
      <w:r w:rsidRPr="003D534F">
        <w:rPr>
          <w:rStyle w:val="normaltextrun"/>
        </w:rPr>
        <w:t xml:space="preserve">oor kan de aanbesteder voorwaarden opleggen om na te gaan of de ondernemers over de noodzakelijke personele en technische middelen en ervaring beschikken om de opdracht volgens een passend kwaliteitsniveau uit te voeren. De aanbesteder kan met name eisen dat de ondernemers een voldoende mate van ervaring hebben die kan worden aangetoond met geschikte referenties </w:t>
      </w:r>
      <w:r>
        <w:rPr>
          <w:rStyle w:val="normaltextrun"/>
        </w:rPr>
        <w:t>over</w:t>
      </w:r>
      <w:r w:rsidRPr="003D534F">
        <w:rPr>
          <w:rStyle w:val="normaltextrun"/>
        </w:rPr>
        <w:t xml:space="preserve"> in het verleden uitgevoerde opdrachten</w:t>
      </w:r>
      <w:r>
        <w:rPr>
          <w:rStyle w:val="normaltextrun"/>
        </w:rPr>
        <w:t xml:space="preserve"> (via een zogenaamde “referentielijst”)</w:t>
      </w:r>
      <w:r w:rsidRPr="003D534F">
        <w:rPr>
          <w:rStyle w:val="normaltextrun"/>
        </w:rPr>
        <w:t>.</w:t>
      </w:r>
      <w:r w:rsidRPr="003D534F">
        <w:rPr>
          <w:rStyle w:val="eop"/>
        </w:rPr>
        <w:t> </w:t>
      </w:r>
    </w:p>
    <w:p w14:paraId="3965CCE9" w14:textId="362C4E41" w:rsidR="00710369" w:rsidRDefault="00710369" w:rsidP="00710369">
      <w:pPr>
        <w:rPr>
          <w:rStyle w:val="eop"/>
        </w:rPr>
      </w:pPr>
      <w:r>
        <w:rPr>
          <w:rStyle w:val="normaltextrun"/>
        </w:rPr>
        <w:t>V</w:t>
      </w:r>
      <w:r w:rsidRPr="003D534F">
        <w:rPr>
          <w:rStyle w:val="normaltextrun"/>
        </w:rPr>
        <w:t>oor meer informatie</w:t>
      </w:r>
      <w:r>
        <w:rPr>
          <w:rStyle w:val="normaltextrun"/>
        </w:rPr>
        <w:t xml:space="preserve"> en een uitgebreid overzicht van de manieren waarop de </w:t>
      </w:r>
      <w:r w:rsidRPr="003D534F">
        <w:rPr>
          <w:rStyle w:val="normaltextrun"/>
        </w:rPr>
        <w:t>technische en beroepsbekwaamheid van de ondernemer kan worden aangetoond</w:t>
      </w:r>
      <w:r>
        <w:rPr>
          <w:rStyle w:val="normaltextrun"/>
        </w:rPr>
        <w:t xml:space="preserve">, zie </w:t>
      </w:r>
      <w:r w:rsidRPr="003D534F">
        <w:rPr>
          <w:rStyle w:val="normaltextrun"/>
        </w:rPr>
        <w:t xml:space="preserve">artikel 68 van het </w:t>
      </w:r>
      <w:r w:rsidR="006C37EF">
        <w:rPr>
          <w:rStyle w:val="normaltextrun"/>
        </w:rPr>
        <w:t>KB</w:t>
      </w:r>
      <w:r w:rsidR="00D5664B">
        <w:rPr>
          <w:rStyle w:val="normaltextrun"/>
        </w:rPr>
        <w:t xml:space="preserve"> van 18 april 2017</w:t>
      </w:r>
      <w:r>
        <w:rPr>
          <w:rStyle w:val="normaltextrun"/>
        </w:rPr>
        <w:t xml:space="preserve">. </w:t>
      </w:r>
    </w:p>
    <w:p w14:paraId="006837B9" w14:textId="77777777" w:rsidR="00710369" w:rsidRPr="00120ABA" w:rsidRDefault="00710369" w:rsidP="00710369">
      <w:pPr>
        <w:rPr>
          <w:rStyle w:val="normaltextrun"/>
          <w:b/>
          <w:bCs/>
          <w:color w:val="0070C0"/>
        </w:rPr>
      </w:pPr>
      <w:r w:rsidRPr="00120ABA">
        <w:rPr>
          <w:rStyle w:val="normaltextrun"/>
          <w:b/>
          <w:bCs/>
          <w:color w:val="0070C0"/>
        </w:rPr>
        <w:t xml:space="preserve">Aangezien ook het gebruik van een referentielijst een vaak terugkerende frustratie is van de ondernemingswereld, wordt in wat volgt daarop dieper ingegaan. </w:t>
      </w:r>
    </w:p>
    <w:p w14:paraId="4194D58B" w14:textId="77777777" w:rsidR="00710369" w:rsidRPr="003D534F" w:rsidRDefault="00710369" w:rsidP="00710369">
      <w:r w:rsidRPr="003D534F">
        <w:rPr>
          <w:rStyle w:val="normaltextrun"/>
        </w:rPr>
        <w:t>De wetgeving overheidsopdrachten stelt dat een referentielijst kan handelen over</w:t>
      </w:r>
      <w:r w:rsidRPr="003D534F">
        <w:rPr>
          <w:rStyle w:val="eop"/>
        </w:rPr>
        <w:t> </w:t>
      </w:r>
    </w:p>
    <w:p w14:paraId="05D11D20" w14:textId="77777777" w:rsidR="00710369" w:rsidRPr="003D534F" w:rsidRDefault="00710369">
      <w:pPr>
        <w:pStyle w:val="Lijstnummering"/>
        <w:numPr>
          <w:ilvl w:val="0"/>
          <w:numId w:val="30"/>
        </w:numPr>
      </w:pPr>
      <w:r w:rsidRPr="00710369">
        <w:rPr>
          <w:rStyle w:val="normaltextrun"/>
          <w:szCs w:val="20"/>
        </w:rPr>
        <w:t xml:space="preserve">de </w:t>
      </w:r>
      <w:r w:rsidRPr="00710369">
        <w:rPr>
          <w:rStyle w:val="normaltextrun"/>
          <w:b/>
          <w:bCs/>
          <w:szCs w:val="20"/>
        </w:rPr>
        <w:t>werken</w:t>
      </w:r>
      <w:r w:rsidRPr="00710369">
        <w:rPr>
          <w:rStyle w:val="normaltextrun"/>
          <w:szCs w:val="20"/>
        </w:rPr>
        <w:t xml:space="preserve"> die gedurende de </w:t>
      </w:r>
      <w:r w:rsidRPr="00710369">
        <w:rPr>
          <w:rStyle w:val="normaltextrun"/>
          <w:b/>
          <w:bCs/>
          <w:szCs w:val="20"/>
        </w:rPr>
        <w:t>afgelopen periode van maximaal vijf jaar</w:t>
      </w:r>
      <w:r w:rsidRPr="00710369">
        <w:rPr>
          <w:rStyle w:val="normaltextrun"/>
          <w:szCs w:val="20"/>
        </w:rPr>
        <w:t xml:space="preserve"> werden verricht en vergezeld gaat van </w:t>
      </w:r>
      <w:r w:rsidRPr="00710369">
        <w:rPr>
          <w:rStyle w:val="normaltextrun"/>
          <w:b/>
          <w:bCs/>
          <w:szCs w:val="20"/>
        </w:rPr>
        <w:t>certificaten</w:t>
      </w:r>
      <w:r w:rsidRPr="00710369">
        <w:rPr>
          <w:rStyle w:val="normaltextrun"/>
          <w:szCs w:val="20"/>
        </w:rPr>
        <w:t xml:space="preserve"> die bewijzen dat de belangrijkste werken naar behoren zijn uitgevoerd, zowel met betrekking tot de wijze van uitvoering als met betrekking tot het resultaat. </w:t>
      </w:r>
      <w:r w:rsidRPr="00B8221A">
        <w:rPr>
          <w:rStyle w:val="normaltextrun"/>
          <w:i/>
          <w:iCs/>
          <w:szCs w:val="20"/>
        </w:rPr>
        <w:t xml:space="preserve">Indien noodzakelijk om een toereikend mededingingsniveau te waarborgen, kunnen de </w:t>
      </w:r>
      <w:r w:rsidRPr="00B8221A">
        <w:rPr>
          <w:rStyle w:val="normaltextrun"/>
          <w:i/>
          <w:iCs/>
          <w:szCs w:val="20"/>
        </w:rPr>
        <w:lastRenderedPageBreak/>
        <w:t xml:space="preserve">aanbesteders aangeven dat bewijs van relevante werken die </w:t>
      </w:r>
      <w:r w:rsidRPr="00CE60DA">
        <w:rPr>
          <w:rStyle w:val="normaltextrun"/>
          <w:b/>
          <w:bCs/>
          <w:i/>
          <w:iCs/>
          <w:szCs w:val="20"/>
        </w:rPr>
        <w:t>langer dan vijf jaar</w:t>
      </w:r>
      <w:r w:rsidRPr="00B8221A">
        <w:rPr>
          <w:rStyle w:val="normaltextrun"/>
          <w:i/>
          <w:iCs/>
          <w:szCs w:val="20"/>
        </w:rPr>
        <w:t xml:space="preserve"> geleden zijn verricht, toch in aanmerking wordt genomen</w:t>
      </w:r>
      <w:r w:rsidRPr="00710369">
        <w:rPr>
          <w:rStyle w:val="normaltextrun"/>
          <w:szCs w:val="20"/>
        </w:rPr>
        <w:t>;</w:t>
      </w:r>
    </w:p>
    <w:p w14:paraId="4257101E" w14:textId="0A7DDA3D" w:rsidR="00710369" w:rsidRPr="003D534F" w:rsidRDefault="00710369">
      <w:pPr>
        <w:pStyle w:val="Lijstnummering"/>
        <w:numPr>
          <w:ilvl w:val="0"/>
          <w:numId w:val="30"/>
        </w:numPr>
      </w:pPr>
      <w:r w:rsidRPr="00710369">
        <w:rPr>
          <w:rStyle w:val="normaltextrun"/>
          <w:szCs w:val="20"/>
        </w:rPr>
        <w:t xml:space="preserve">de </w:t>
      </w:r>
      <w:r w:rsidRPr="00710369">
        <w:rPr>
          <w:rStyle w:val="normaltextrun"/>
          <w:b/>
          <w:bCs/>
          <w:szCs w:val="20"/>
        </w:rPr>
        <w:t>voornaamste leveringen of diensten</w:t>
      </w:r>
      <w:r w:rsidRPr="00710369">
        <w:rPr>
          <w:rStyle w:val="normaltextrun"/>
          <w:szCs w:val="20"/>
        </w:rPr>
        <w:t xml:space="preserve"> die gedurende de </w:t>
      </w:r>
      <w:r w:rsidRPr="00710369">
        <w:rPr>
          <w:rStyle w:val="normaltextrun"/>
          <w:b/>
          <w:bCs/>
          <w:szCs w:val="20"/>
        </w:rPr>
        <w:t>afgelopen periode van maximaal drie</w:t>
      </w:r>
      <w:r w:rsidRPr="00710369">
        <w:rPr>
          <w:rStyle w:val="normaltextrun"/>
          <w:szCs w:val="20"/>
        </w:rPr>
        <w:t xml:space="preserve"> </w:t>
      </w:r>
      <w:r w:rsidRPr="00710369">
        <w:rPr>
          <w:rStyle w:val="normaltextrun"/>
          <w:b/>
          <w:bCs/>
          <w:szCs w:val="20"/>
        </w:rPr>
        <w:t>jaar</w:t>
      </w:r>
      <w:r w:rsidRPr="00710369">
        <w:rPr>
          <w:rStyle w:val="normaltextrun"/>
          <w:szCs w:val="20"/>
        </w:rPr>
        <w:t xml:space="preserve"> werden verricht, met vermelding van het bedrag, de datum en van de publiek- of privaatrechtelijke instanties waarvoor zij bestemd waren. </w:t>
      </w:r>
      <w:r w:rsidRPr="00710369">
        <w:rPr>
          <w:rStyle w:val="normaltextrun"/>
          <w:i/>
          <w:iCs/>
          <w:szCs w:val="20"/>
        </w:rPr>
        <w:t>Hierbij is geen sprake meer van certificaten van goede uitvoering</w:t>
      </w:r>
      <w:r w:rsidRPr="00710369">
        <w:rPr>
          <w:rStyle w:val="normaltextrun"/>
          <w:szCs w:val="20"/>
        </w:rPr>
        <w:t xml:space="preserve">. </w:t>
      </w:r>
      <w:r w:rsidRPr="00BA12AD">
        <w:rPr>
          <w:rStyle w:val="normaltextrun"/>
          <w:i/>
          <w:iCs/>
          <w:szCs w:val="20"/>
        </w:rPr>
        <w:t xml:space="preserve">Indien noodzakelijk om een toereikend mededingingsniveau te waarborgen, kunnen de </w:t>
      </w:r>
      <w:r w:rsidR="00BA12AD">
        <w:rPr>
          <w:rStyle w:val="normaltextrun"/>
          <w:i/>
          <w:iCs/>
          <w:szCs w:val="20"/>
        </w:rPr>
        <w:t>aanbesteders</w:t>
      </w:r>
      <w:r w:rsidRPr="00BA12AD">
        <w:rPr>
          <w:rStyle w:val="normaltextrun"/>
          <w:i/>
          <w:iCs/>
          <w:szCs w:val="20"/>
        </w:rPr>
        <w:t xml:space="preserve"> aangeven dat bewijs van relevante leveringen of diensten die </w:t>
      </w:r>
      <w:r w:rsidRPr="002728D5">
        <w:rPr>
          <w:rStyle w:val="normaltextrun"/>
          <w:b/>
          <w:bCs/>
          <w:i/>
          <w:iCs/>
          <w:szCs w:val="20"/>
        </w:rPr>
        <w:t>langer dan drie jaar</w:t>
      </w:r>
      <w:r w:rsidRPr="00BA12AD">
        <w:rPr>
          <w:rStyle w:val="normaltextrun"/>
          <w:i/>
          <w:iCs/>
          <w:szCs w:val="20"/>
        </w:rPr>
        <w:t xml:space="preserve"> geleden zijn geleverd of verleend toch in aanmerking wordt genomen</w:t>
      </w:r>
      <w:r w:rsidRPr="00710369">
        <w:rPr>
          <w:rStyle w:val="normaltextrun"/>
          <w:szCs w:val="20"/>
        </w:rPr>
        <w:t>.</w:t>
      </w:r>
    </w:p>
    <w:p w14:paraId="51F95D97" w14:textId="77777777" w:rsidR="00710369" w:rsidRDefault="00710369" w:rsidP="00710369">
      <w:pPr>
        <w:rPr>
          <w:rStyle w:val="eop"/>
        </w:rPr>
      </w:pPr>
      <w:r w:rsidRPr="00693F6A">
        <w:rPr>
          <w:rStyle w:val="normaltextrun"/>
          <w:b/>
          <w:bCs/>
        </w:rPr>
        <w:t>Het gebruik op zich van een referentielijst wordt niet ter discussie gesteld: het gaat om een nuttig instrument</w:t>
      </w:r>
      <w:r w:rsidRPr="002728D5">
        <w:rPr>
          <w:rStyle w:val="normaltextrun"/>
          <w:b/>
          <w:bCs/>
        </w:rPr>
        <w:t>.</w:t>
      </w:r>
      <w:r w:rsidRPr="003D534F">
        <w:rPr>
          <w:rStyle w:val="normaltextrun"/>
        </w:rPr>
        <w:t xml:space="preserve"> Waar wel problemen opduiken</w:t>
      </w:r>
      <w:r>
        <w:rPr>
          <w:rStyle w:val="normaltextrun"/>
        </w:rPr>
        <w:t>,</w:t>
      </w:r>
      <w:r w:rsidRPr="003D534F">
        <w:rPr>
          <w:rStyle w:val="normaltextrun"/>
        </w:rPr>
        <w:t xml:space="preserve"> zijn de omvang van de gevraagde referenties en de periode waarop ze mogen slaan. </w:t>
      </w:r>
      <w:r w:rsidRPr="003D534F">
        <w:rPr>
          <w:rStyle w:val="eop"/>
        </w:rPr>
        <w:t> </w:t>
      </w:r>
    </w:p>
    <w:p w14:paraId="4B509648" w14:textId="5514F770" w:rsidR="007D0FB8" w:rsidRPr="00120ABA" w:rsidRDefault="007D0FB8" w:rsidP="007D0FB8">
      <w:pPr>
        <w:rPr>
          <w:b/>
          <w:bCs/>
          <w:color w:val="0070C0"/>
        </w:rPr>
      </w:pPr>
      <w:r w:rsidRPr="00120ABA">
        <w:rPr>
          <w:rStyle w:val="normaltextrun"/>
          <w:b/>
          <w:bCs/>
          <w:color w:val="0070C0"/>
        </w:rPr>
        <w:t xml:space="preserve">De aanbesteder dient zich ervan bewust te zijn dat wanneer hij ervoor kiest om meerdere referenties van een serieuze omvang te vragen </w:t>
      </w:r>
      <w:r w:rsidR="00574280" w:rsidRPr="00120ABA">
        <w:rPr>
          <w:rStyle w:val="normaltextrun"/>
          <w:b/>
          <w:bCs/>
          <w:color w:val="0070C0"/>
        </w:rPr>
        <w:t>é</w:t>
      </w:r>
      <w:r w:rsidRPr="00120ABA">
        <w:rPr>
          <w:rStyle w:val="normaltextrun"/>
          <w:b/>
          <w:bCs/>
          <w:color w:val="0070C0"/>
        </w:rPr>
        <w:t xml:space="preserve">n de periode </w:t>
      </w:r>
      <w:r w:rsidR="00572C1B" w:rsidRPr="00120ABA">
        <w:rPr>
          <w:rStyle w:val="normaltextrun"/>
          <w:b/>
          <w:bCs/>
          <w:color w:val="0070C0"/>
        </w:rPr>
        <w:t xml:space="preserve">waarop die referenties mogen slaan </w:t>
      </w:r>
      <w:r w:rsidRPr="00120ABA">
        <w:rPr>
          <w:rStyle w:val="normaltextrun"/>
          <w:b/>
          <w:bCs/>
          <w:color w:val="0070C0"/>
        </w:rPr>
        <w:t xml:space="preserve">beperkt is tot drie tot vijf jaar, de aanbesteder bijna-automatisch de mededinging sterk </w:t>
      </w:r>
      <w:r w:rsidR="003B24DD" w:rsidRPr="00120ABA">
        <w:rPr>
          <w:rStyle w:val="normaltextrun"/>
          <w:b/>
          <w:bCs/>
          <w:color w:val="0070C0"/>
        </w:rPr>
        <w:t>in</w:t>
      </w:r>
      <w:r w:rsidRPr="00120ABA">
        <w:rPr>
          <w:rStyle w:val="normaltextrun"/>
          <w:b/>
          <w:bCs/>
          <w:color w:val="0070C0"/>
        </w:rPr>
        <w:t>perkt gezien het Belgische kmo-landschap. </w:t>
      </w:r>
      <w:r w:rsidRPr="00120ABA">
        <w:rPr>
          <w:rStyle w:val="eop"/>
          <w:b/>
          <w:bCs/>
          <w:color w:val="0070C0"/>
        </w:rPr>
        <w:t> </w:t>
      </w:r>
    </w:p>
    <w:p w14:paraId="7E4FD8B4" w14:textId="77777777" w:rsidR="007D0FB8" w:rsidRPr="003D534F" w:rsidRDefault="007D0FB8" w:rsidP="007D0FB8">
      <w:r w:rsidRPr="003D534F">
        <w:rPr>
          <w:rStyle w:val="normaltextrun"/>
        </w:rPr>
        <w:t xml:space="preserve">De aanbesteder moet zich de vraag stellen of het wel nodig is voor de correcte uitvoering van een opdracht dat een onderneming bijvoorbeeld 5 referenties moet kunnen voorleggen. Volstaat het voorleggen van 2 of 3 referenties niet? Welk verschil maken die extra referenties ten aanzien van de kwaliteit van de uitvoering van de opdracht, wetende dat ze de mededinging </w:t>
      </w:r>
      <w:r>
        <w:rPr>
          <w:rStyle w:val="normaltextrun"/>
        </w:rPr>
        <w:t xml:space="preserve">mogelijk tot </w:t>
      </w:r>
      <w:r w:rsidRPr="003D534F">
        <w:rPr>
          <w:rStyle w:val="normaltextrun"/>
        </w:rPr>
        <w:t>waarschijnlijk beperken?</w:t>
      </w:r>
      <w:r w:rsidRPr="003D534F">
        <w:rPr>
          <w:rStyle w:val="eop"/>
        </w:rPr>
        <w:t> </w:t>
      </w:r>
    </w:p>
    <w:p w14:paraId="2F5D1F3E" w14:textId="77777777" w:rsidR="007D0FB8" w:rsidRPr="003D534F" w:rsidRDefault="007D0FB8" w:rsidP="007D0FB8">
      <w:r w:rsidRPr="003D534F">
        <w:rPr>
          <w:rStyle w:val="normaltextrun"/>
        </w:rPr>
        <w:t xml:space="preserve">Hetzelfde geldt voor de omvang van de referenties: moeten die allemaal van dezelfde grootorde zijn? Maakt het echt een verschil uit of nu één of de helft van de referenties een grote omvang hebben versus wanneer </w:t>
      </w:r>
      <w:r>
        <w:rPr>
          <w:rStyle w:val="normaltextrun"/>
        </w:rPr>
        <w:t>alle referenties een grote</w:t>
      </w:r>
      <w:r w:rsidRPr="003D534F">
        <w:rPr>
          <w:rStyle w:val="normaltextrun"/>
        </w:rPr>
        <w:t xml:space="preserve"> omvang hebben? Wetende dat een dergelijke vraag de mededinging verder inperkt. </w:t>
      </w:r>
      <w:r w:rsidRPr="003D534F">
        <w:rPr>
          <w:rStyle w:val="eop"/>
        </w:rPr>
        <w:t> </w:t>
      </w:r>
    </w:p>
    <w:p w14:paraId="4A19E801" w14:textId="419F7BA6" w:rsidR="007D0FB8" w:rsidRPr="003D534F" w:rsidRDefault="007D0FB8" w:rsidP="007D0FB8">
      <w:r w:rsidRPr="003D534F">
        <w:rPr>
          <w:rStyle w:val="normaltextrun"/>
        </w:rPr>
        <w:t>Ga na of er gewerkt kan worden met een zogenaamde “open referentie” waarbij het de kandidaten of inschrijvers toegestaan is realisaties met een afwijkende functie als referentie op te geven, maar</w:t>
      </w:r>
      <w:r w:rsidR="006435FB">
        <w:rPr>
          <w:rStyle w:val="normaltextrun"/>
        </w:rPr>
        <w:t xml:space="preserve"> waarbij</w:t>
      </w:r>
      <w:r w:rsidRPr="003D534F">
        <w:rPr>
          <w:rStyle w:val="normaltextrun"/>
        </w:rPr>
        <w:t xml:space="preserve"> de kandidaten of inchrijvers dan wel moeten motiveren waarom die referentie relevant is.</w:t>
      </w:r>
      <w:r w:rsidRPr="003D534F">
        <w:rPr>
          <w:rStyle w:val="eop"/>
        </w:rPr>
        <w:t> </w:t>
      </w:r>
    </w:p>
    <w:p w14:paraId="42AC2D3A" w14:textId="1CF306EE" w:rsidR="007D0FB8" w:rsidRPr="003D534F" w:rsidRDefault="007D0FB8" w:rsidP="007D0FB8">
      <w:r w:rsidRPr="004A6647">
        <w:rPr>
          <w:rStyle w:val="normaltextrun"/>
          <w:b/>
          <w:bCs/>
        </w:rPr>
        <w:t>Zoals reeds aangegeven beschikt de aanbesteder over de mogelijkheid om de periode waarop de referenties mogen slaan, te verlengen</w:t>
      </w:r>
      <w:r w:rsidRPr="00597994">
        <w:rPr>
          <w:rStyle w:val="normaltextrun"/>
          <w:b/>
          <w:bCs/>
        </w:rPr>
        <w:t>.</w:t>
      </w:r>
      <w:r w:rsidR="008C085A">
        <w:rPr>
          <w:rStyle w:val="normaltextrun"/>
        </w:rPr>
        <w:t xml:space="preserve"> D</w:t>
      </w:r>
      <w:r w:rsidRPr="003D534F">
        <w:rPr>
          <w:rStyle w:val="normaltextrun"/>
        </w:rPr>
        <w:t>ie verlenging moet</w:t>
      </w:r>
      <w:r w:rsidR="008C085A">
        <w:rPr>
          <w:rStyle w:val="normaltextrun"/>
        </w:rPr>
        <w:t xml:space="preserve"> weliswaar</w:t>
      </w:r>
      <w:r w:rsidRPr="003D534F">
        <w:rPr>
          <w:rStyle w:val="normaltextrun"/>
        </w:rPr>
        <w:t xml:space="preserve"> kaderen in gevallen van ontoereikende mededinging en kan dus niet zomaar </w:t>
      </w:r>
      <w:r w:rsidR="00B82AD5" w:rsidRPr="003D534F">
        <w:rPr>
          <w:rStyle w:val="normaltextrun"/>
        </w:rPr>
        <w:t xml:space="preserve">worden </w:t>
      </w:r>
      <w:r w:rsidRPr="003D534F">
        <w:rPr>
          <w:rStyle w:val="normaltextrun"/>
        </w:rPr>
        <w:t>ingeroepen. Tegelijk kunnen we</w:t>
      </w:r>
      <w:r w:rsidR="00D50B90">
        <w:rPr>
          <w:rStyle w:val="normaltextrun"/>
        </w:rPr>
        <w:t xml:space="preserve"> ook</w:t>
      </w:r>
      <w:r w:rsidRPr="003D534F">
        <w:rPr>
          <w:rStyle w:val="normaltextrun"/>
        </w:rPr>
        <w:t xml:space="preserve"> </w:t>
      </w:r>
      <w:r w:rsidR="001362D1">
        <w:rPr>
          <w:rStyle w:val="normaltextrun"/>
        </w:rPr>
        <w:t>opmerken</w:t>
      </w:r>
      <w:r w:rsidR="001362D1" w:rsidRPr="003D534F">
        <w:rPr>
          <w:rStyle w:val="normaltextrun"/>
        </w:rPr>
        <w:t xml:space="preserve"> </w:t>
      </w:r>
      <w:r w:rsidRPr="003D534F">
        <w:rPr>
          <w:rStyle w:val="normaltextrun"/>
        </w:rPr>
        <w:t xml:space="preserve">dat het vragen van </w:t>
      </w:r>
      <w:r w:rsidR="00D50B90">
        <w:rPr>
          <w:rStyle w:val="normaltextrun"/>
        </w:rPr>
        <w:t>vele</w:t>
      </w:r>
      <w:r w:rsidR="00D50B90" w:rsidRPr="003D534F">
        <w:rPr>
          <w:rStyle w:val="normaltextrun"/>
        </w:rPr>
        <w:t xml:space="preserve"> </w:t>
      </w:r>
      <w:r w:rsidRPr="003D534F">
        <w:rPr>
          <w:rStyle w:val="normaltextrun"/>
        </w:rPr>
        <w:t xml:space="preserve">referenties van grote omvang </w:t>
      </w:r>
      <w:r w:rsidR="00652E49">
        <w:rPr>
          <w:rStyle w:val="normaltextrun"/>
        </w:rPr>
        <w:t>sowieso</w:t>
      </w:r>
      <w:r w:rsidRPr="003D534F">
        <w:rPr>
          <w:rStyle w:val="normaltextrun"/>
        </w:rPr>
        <w:t xml:space="preserve"> negatief is voor de mededinging.</w:t>
      </w:r>
      <w:r w:rsidRPr="003D534F">
        <w:rPr>
          <w:rStyle w:val="eop"/>
        </w:rPr>
        <w:t> </w:t>
      </w:r>
    </w:p>
    <w:p w14:paraId="2EF84708" w14:textId="12DF8BF5" w:rsidR="007D0FB8" w:rsidRPr="003D534F" w:rsidRDefault="007D0FB8" w:rsidP="007D0FB8">
      <w:r w:rsidRPr="003D534F">
        <w:rPr>
          <w:rStyle w:val="normaltextrun"/>
        </w:rPr>
        <w:t>Tot slot merken we op dat in een aantal gevallen een verlenging van d</w:t>
      </w:r>
      <w:r>
        <w:rPr>
          <w:rStyle w:val="normaltextrun"/>
        </w:rPr>
        <w:t>i</w:t>
      </w:r>
      <w:r w:rsidRPr="003D534F">
        <w:rPr>
          <w:rStyle w:val="normaltextrun"/>
        </w:rPr>
        <w:t xml:space="preserve">e periode net onzinnig of contraproductief is. Indien de afgelopen jaren grote veranderingen </w:t>
      </w:r>
      <w:r w:rsidR="005802C4" w:rsidRPr="003D534F">
        <w:rPr>
          <w:rStyle w:val="normaltextrun"/>
        </w:rPr>
        <w:t>hebben plaatsgevonden</w:t>
      </w:r>
      <w:r w:rsidR="005802C4" w:rsidRPr="005802C4">
        <w:rPr>
          <w:rStyle w:val="normaltextrun"/>
        </w:rPr>
        <w:t xml:space="preserve"> </w:t>
      </w:r>
      <w:r w:rsidR="005802C4" w:rsidRPr="003D534F">
        <w:rPr>
          <w:rStyle w:val="normaltextrun"/>
        </w:rPr>
        <w:t>in een bepaalde sector</w:t>
      </w:r>
      <w:r w:rsidR="005802C4">
        <w:rPr>
          <w:rStyle w:val="normaltextrun"/>
        </w:rPr>
        <w:t>,</w:t>
      </w:r>
      <w:r w:rsidR="005802C4" w:rsidRPr="003D534F">
        <w:rPr>
          <w:rStyle w:val="normaltextrun"/>
        </w:rPr>
        <w:t xml:space="preserve"> </w:t>
      </w:r>
      <w:r w:rsidRPr="003D534F">
        <w:rPr>
          <w:rStyle w:val="normaltextrun"/>
        </w:rPr>
        <w:t>van bijvoorbeeld technologisch</w:t>
      </w:r>
      <w:r>
        <w:rPr>
          <w:rStyle w:val="normaltextrun"/>
        </w:rPr>
        <w:t>e</w:t>
      </w:r>
      <w:r w:rsidRPr="003D534F">
        <w:rPr>
          <w:rStyle w:val="normaltextrun"/>
        </w:rPr>
        <w:t xml:space="preserve"> aard of op het vlak van normen of wetgeving</w:t>
      </w:r>
      <w:r w:rsidR="005802C4">
        <w:rPr>
          <w:rStyle w:val="normaltextrun"/>
        </w:rPr>
        <w:t>,</w:t>
      </w:r>
      <w:r w:rsidRPr="003D534F">
        <w:rPr>
          <w:rStyle w:val="normaltextrun"/>
        </w:rPr>
        <w:t xml:space="preserve"> dan is het soms net onlogisch om een langere periode van referenties te hanteren. Een onderneming moet via de referenties immers net aantonen dat ze "mee is met haar tijd”.</w:t>
      </w:r>
      <w:r w:rsidRPr="003D534F">
        <w:rPr>
          <w:rStyle w:val="eop"/>
        </w:rPr>
        <w:t> </w:t>
      </w:r>
    </w:p>
    <w:p w14:paraId="4B1A4EDF" w14:textId="5B0DC70C" w:rsidR="007D0FB8" w:rsidRDefault="00B54F74" w:rsidP="00B54F74">
      <w:pPr>
        <w:pStyle w:val="Kop4"/>
        <w:rPr>
          <w:rStyle w:val="eop"/>
          <w:lang w:val="nl-BE"/>
        </w:rPr>
      </w:pPr>
      <w:r w:rsidRPr="00B54F74">
        <w:rPr>
          <w:rStyle w:val="eop"/>
          <w:lang w:val="nl-BE"/>
        </w:rPr>
        <w:t xml:space="preserve">Selectiecriteria: opdrachten voor werken </w:t>
      </w:r>
      <w:r>
        <w:rPr>
          <w:rStyle w:val="eop"/>
          <w:lang w:val="nl-BE"/>
        </w:rPr>
        <w:t>–</w:t>
      </w:r>
      <w:r w:rsidRPr="00B54F74">
        <w:rPr>
          <w:rStyle w:val="eop"/>
          <w:lang w:val="nl-BE"/>
        </w:rPr>
        <w:t xml:space="preserve"> d</w:t>
      </w:r>
      <w:r>
        <w:rPr>
          <w:rStyle w:val="eop"/>
          <w:lang w:val="nl-BE"/>
        </w:rPr>
        <w:t>e erkenning van aannemers</w:t>
      </w:r>
    </w:p>
    <w:p w14:paraId="2C6FC80E" w14:textId="219D83EA" w:rsidR="00B54F74" w:rsidRDefault="00B54F74" w:rsidP="00B54F74">
      <w:pPr>
        <w:rPr>
          <w:rStyle w:val="eop"/>
          <w:color w:val="000000"/>
        </w:rPr>
      </w:pPr>
      <w:r w:rsidRPr="003D534F">
        <w:rPr>
          <w:rStyle w:val="normaltextrun"/>
        </w:rPr>
        <w:t>Bij opdrachten voor werken moet rekening worden gehouden met de wetgeving inzake de erkenning van de aannemers.</w:t>
      </w:r>
      <w:r w:rsidRPr="003D534F">
        <w:rPr>
          <w:rStyle w:val="eop"/>
        </w:rPr>
        <w:t> </w:t>
      </w:r>
      <w:r w:rsidRPr="003D534F">
        <w:rPr>
          <w:rStyle w:val="normaltextrun"/>
          <w:color w:val="000000"/>
          <w:lang w:val="nl-NL"/>
        </w:rPr>
        <w:t xml:space="preserve">Bij een </w:t>
      </w:r>
      <w:r w:rsidR="009841C2">
        <w:rPr>
          <w:rStyle w:val="normaltextrun"/>
          <w:color w:val="000000"/>
          <w:lang w:val="nl-NL"/>
        </w:rPr>
        <w:t xml:space="preserve">dergelijke </w:t>
      </w:r>
      <w:r w:rsidRPr="003D534F">
        <w:rPr>
          <w:rStyle w:val="normaltextrun"/>
          <w:color w:val="000000"/>
          <w:lang w:val="nl-NL"/>
        </w:rPr>
        <w:t>opdracht kunnen</w:t>
      </w:r>
      <w:r>
        <w:rPr>
          <w:rStyle w:val="normaltextrun"/>
          <w:color w:val="000000"/>
          <w:lang w:val="nl-NL"/>
        </w:rPr>
        <w:t xml:space="preserve"> immers</w:t>
      </w:r>
      <w:r w:rsidRPr="003D534F">
        <w:rPr>
          <w:rStyle w:val="normaltextrun"/>
          <w:color w:val="000000"/>
          <w:lang w:val="nl-NL"/>
        </w:rPr>
        <w:t xml:space="preserve"> de selectiecriteria en het niveau ervan bepaald worden aan de hand van de </w:t>
      </w:r>
      <w:hyperlink r:id="rId85" w:history="1">
        <w:r w:rsidRPr="003D534F">
          <w:rPr>
            <w:rStyle w:val="Hyperlink"/>
            <w:lang w:val="nl-NL"/>
          </w:rPr>
          <w:t>categorieën en klassen</w:t>
        </w:r>
      </w:hyperlink>
      <w:r w:rsidRPr="003D534F">
        <w:rPr>
          <w:rStyle w:val="normaltextrun"/>
          <w:color w:val="000000"/>
          <w:lang w:val="nl-NL"/>
        </w:rPr>
        <w:t xml:space="preserve"> zoals bepaald in de wet van 20 maart 1991 houdende de regeling van de erkenning van aannemers van werken.</w:t>
      </w:r>
      <w:r w:rsidRPr="003D534F">
        <w:rPr>
          <w:rStyle w:val="eop"/>
          <w:color w:val="000000"/>
        </w:rPr>
        <w:t> </w:t>
      </w:r>
    </w:p>
    <w:p w14:paraId="45CBD7C0" w14:textId="11EF2B2A" w:rsidR="00B54F74" w:rsidRDefault="00B54F74" w:rsidP="00B54F74">
      <w:pPr>
        <w:rPr>
          <w:rStyle w:val="eop"/>
          <w:color w:val="000000"/>
        </w:rPr>
      </w:pPr>
      <w:r w:rsidRPr="003D534F">
        <w:rPr>
          <w:rStyle w:val="normaltextrun"/>
          <w:color w:val="000000"/>
          <w:lang w:val="nl-NL"/>
        </w:rPr>
        <w:t xml:space="preserve">Wat die erkenning betreft, moet er worden op gewezen dat er een kwalitatief selectiecriterium voorligt dat uit zichzelf een niveau bevat (klasse en categorie). Indien de </w:t>
      </w:r>
      <w:r w:rsidR="0004533C">
        <w:rPr>
          <w:rStyle w:val="normaltextrun"/>
          <w:color w:val="000000"/>
          <w:lang w:val="nl-NL"/>
        </w:rPr>
        <w:t>aanbesteder</w:t>
      </w:r>
      <w:r w:rsidRPr="003D534F">
        <w:rPr>
          <w:rStyle w:val="normaltextrun"/>
          <w:color w:val="000000"/>
          <w:lang w:val="nl-NL"/>
        </w:rPr>
        <w:t xml:space="preserve"> echter beslist om andere kwalitatieve selectiecriteria toe te voegen, bovenop de erkenning, zal hij aan die criteria eveneens een niveau moeten verbinden, tenzij wanneer die criteria zich daar niet toe lenen. De </w:t>
      </w:r>
      <w:r w:rsidR="0004533C">
        <w:rPr>
          <w:rStyle w:val="normaltextrun"/>
          <w:color w:val="000000"/>
          <w:lang w:val="nl-NL"/>
        </w:rPr>
        <w:t>aanbesteder</w:t>
      </w:r>
      <w:r w:rsidRPr="003D534F">
        <w:rPr>
          <w:rStyle w:val="normaltextrun"/>
          <w:color w:val="000000"/>
          <w:lang w:val="nl-NL"/>
        </w:rPr>
        <w:t xml:space="preserve"> zal overigens verplicht zijn, in de andere procedures dan de openbare procedure en de vereenvoudigde onderhandelingsprocedure met voorafgaande bekendmaking</w:t>
      </w:r>
      <w:r>
        <w:rPr>
          <w:rStyle w:val="normaltextrun"/>
          <w:color w:val="000000"/>
          <w:lang w:val="nl-NL"/>
        </w:rPr>
        <w:t xml:space="preserve"> (VOPMB)</w:t>
      </w:r>
      <w:r w:rsidRPr="003D534F">
        <w:rPr>
          <w:rStyle w:val="normaltextrun"/>
          <w:color w:val="000000"/>
          <w:lang w:val="nl-NL"/>
        </w:rPr>
        <w:t>, een kwalitatief selectiecriterium toe te voegen. </w:t>
      </w:r>
      <w:r w:rsidRPr="002E0039">
        <w:rPr>
          <w:rStyle w:val="eop"/>
          <w:b/>
          <w:bCs/>
          <w:color w:val="000000"/>
        </w:rPr>
        <w:t>Tegelijk, bij openbare procedures en de VOPMB dus</w:t>
      </w:r>
      <w:r>
        <w:rPr>
          <w:rStyle w:val="eop"/>
          <w:color w:val="000000"/>
        </w:rPr>
        <w:t xml:space="preserve"> </w:t>
      </w:r>
      <w:r w:rsidRPr="00725043">
        <w:rPr>
          <w:rStyle w:val="eop"/>
          <w:b/>
          <w:bCs/>
          <w:color w:val="000000"/>
        </w:rPr>
        <w:t>niet</w:t>
      </w:r>
      <w:r w:rsidR="00227F39">
        <w:rPr>
          <w:rStyle w:val="eop"/>
          <w:b/>
          <w:bCs/>
          <w:color w:val="000000"/>
        </w:rPr>
        <w:t xml:space="preserve"> </w:t>
      </w:r>
      <w:r w:rsidR="00227F39" w:rsidRPr="00734F07">
        <w:rPr>
          <w:rStyle w:val="eop"/>
          <w:color w:val="000000"/>
        </w:rPr>
        <w:t>(zie artikel 70, §1</w:t>
      </w:r>
      <w:r w:rsidR="00734F07" w:rsidRPr="00734F07">
        <w:rPr>
          <w:rStyle w:val="eop"/>
          <w:color w:val="000000"/>
        </w:rPr>
        <w:t xml:space="preserve"> van het KB Plaatsing)</w:t>
      </w:r>
      <w:r w:rsidRPr="00734F07">
        <w:rPr>
          <w:rStyle w:val="eop"/>
          <w:color w:val="000000"/>
        </w:rPr>
        <w:t>.</w:t>
      </w:r>
      <w:r>
        <w:rPr>
          <w:rStyle w:val="eop"/>
          <w:color w:val="000000"/>
        </w:rPr>
        <w:t xml:space="preserve"> </w:t>
      </w:r>
    </w:p>
    <w:p w14:paraId="2A96960C" w14:textId="771EA452" w:rsidR="00471DEA" w:rsidRDefault="007517DD" w:rsidP="00B54F74">
      <w:pPr>
        <w:rPr>
          <w:rStyle w:val="eop"/>
          <w:color w:val="000000"/>
        </w:rPr>
      </w:pPr>
      <w:r>
        <w:rPr>
          <w:rStyle w:val="eop"/>
          <w:color w:val="000000"/>
        </w:rPr>
        <w:t>Het</w:t>
      </w:r>
      <w:r w:rsidR="005432A6">
        <w:rPr>
          <w:rStyle w:val="eop"/>
          <w:color w:val="000000"/>
        </w:rPr>
        <w:t xml:space="preserve"> kan voorkomen dat wegen</w:t>
      </w:r>
      <w:r w:rsidR="00A04310">
        <w:rPr>
          <w:rStyle w:val="eop"/>
          <w:color w:val="000000"/>
        </w:rPr>
        <w:t>s de gespecialiseerde aard van sommig</w:t>
      </w:r>
      <w:r w:rsidR="00E50395">
        <w:rPr>
          <w:rStyle w:val="eop"/>
          <w:color w:val="000000"/>
        </w:rPr>
        <w:t>e overheidsopdrachten voor werken, het in dergelijke gevallen wel aangewezen is om een tweede selectiecriterium toe te voegen aan de erkenning van aannemers</w:t>
      </w:r>
      <w:r w:rsidR="00BF0267">
        <w:rPr>
          <w:rStyle w:val="eop"/>
          <w:color w:val="000000"/>
        </w:rPr>
        <w:t xml:space="preserve"> – ook al is dat niet wettelijk vereist. </w:t>
      </w:r>
    </w:p>
    <w:p w14:paraId="59BA2F00" w14:textId="50EEC8D4" w:rsidR="00B54F74" w:rsidRDefault="00C36735" w:rsidP="00B54F74">
      <w:pPr>
        <w:rPr>
          <w:rStyle w:val="eop"/>
          <w:color w:val="000000"/>
        </w:rPr>
      </w:pPr>
      <w:r>
        <w:rPr>
          <w:rStyle w:val="eop"/>
          <w:color w:val="000000"/>
        </w:rPr>
        <w:lastRenderedPageBreak/>
        <w:t>In het algemeen geeft d</w:t>
      </w:r>
      <w:r w:rsidR="00B54F74" w:rsidRPr="003D534F">
        <w:rPr>
          <w:rStyle w:val="eop"/>
          <w:color w:val="000000"/>
        </w:rPr>
        <w:t xml:space="preserve">e erkenning aan de aanbestedende overheden het nodige vertrouwen voor een goede en degelijke uitvoering van de werken. </w:t>
      </w:r>
      <w:r w:rsidR="00B54F74" w:rsidRPr="002156F7">
        <w:rPr>
          <w:rStyle w:val="eop"/>
          <w:b/>
          <w:bCs/>
          <w:color w:val="000000"/>
        </w:rPr>
        <w:t>In de mate van het mogelijke en voor de procedures waar dat is toegelaten</w:t>
      </w:r>
      <w:r w:rsidR="00DE1C4F">
        <w:rPr>
          <w:rStyle w:val="eop"/>
          <w:b/>
          <w:bCs/>
          <w:color w:val="000000"/>
        </w:rPr>
        <w:t>, met name de openbare procedure en de VOPMB</w:t>
      </w:r>
      <w:r w:rsidR="00B54F74" w:rsidRPr="002156F7">
        <w:rPr>
          <w:rStyle w:val="eop"/>
          <w:b/>
          <w:bCs/>
          <w:color w:val="000000"/>
        </w:rPr>
        <w:t>, vraagt het charter aan de aanbesteders om zich te beperken tot het vragen van de erkenning</w:t>
      </w:r>
      <w:r w:rsidR="00B54F74">
        <w:rPr>
          <w:rStyle w:val="eop"/>
          <w:b/>
          <w:bCs/>
          <w:color w:val="000000"/>
        </w:rPr>
        <w:t xml:space="preserve"> van aannemers</w:t>
      </w:r>
      <w:r w:rsidR="00B54F74" w:rsidRPr="002156F7">
        <w:rPr>
          <w:rStyle w:val="eop"/>
          <w:b/>
          <w:bCs/>
          <w:color w:val="000000"/>
        </w:rPr>
        <w:t xml:space="preserve"> en dus geen extra selectiecriteria te voorzien</w:t>
      </w:r>
      <w:r w:rsidR="00B54F74" w:rsidRPr="00C25C0D">
        <w:rPr>
          <w:rStyle w:val="eop"/>
          <w:b/>
          <w:bCs/>
          <w:color w:val="000000"/>
        </w:rPr>
        <w:t>.</w:t>
      </w:r>
      <w:r w:rsidR="00B54F74" w:rsidRPr="003D534F">
        <w:rPr>
          <w:rStyle w:val="eop"/>
          <w:color w:val="000000"/>
        </w:rPr>
        <w:t xml:space="preserve">  </w:t>
      </w:r>
    </w:p>
    <w:p w14:paraId="4F19CB3D" w14:textId="12C1F726" w:rsidR="00B54F74" w:rsidRDefault="00B54F74" w:rsidP="00B54F74">
      <w:pPr>
        <w:pStyle w:val="Kop4"/>
        <w:rPr>
          <w:rStyle w:val="eop"/>
          <w:lang w:val="nl-BE"/>
        </w:rPr>
      </w:pPr>
      <w:r w:rsidRPr="00B54F74">
        <w:rPr>
          <w:rStyle w:val="eop"/>
          <w:lang w:val="nl-BE"/>
        </w:rPr>
        <w:t>Selectiecriteria: enkele best practice</w:t>
      </w:r>
    </w:p>
    <w:p w14:paraId="7E8EC24C" w14:textId="57E55768" w:rsidR="00E30BBE" w:rsidRDefault="00E30BBE" w:rsidP="00E30BBE">
      <w:pPr>
        <w:rPr>
          <w:rStyle w:val="eop"/>
          <w:color w:val="000000"/>
        </w:rPr>
      </w:pPr>
      <w:r>
        <w:rPr>
          <w:rStyle w:val="eop"/>
          <w:color w:val="000000"/>
        </w:rPr>
        <w:t>Het beëindigen van het luik “selectiecriteria” doen we met enkele best practices voor aanbesteders</w:t>
      </w:r>
      <w:r w:rsidR="00F41E03">
        <w:rPr>
          <w:rStyle w:val="eop"/>
          <w:color w:val="000000"/>
        </w:rPr>
        <w:t>.</w:t>
      </w:r>
    </w:p>
    <w:p w14:paraId="12FBE709" w14:textId="77777777" w:rsidR="00E30BBE" w:rsidRPr="003D534F" w:rsidRDefault="00E30BBE">
      <w:pPr>
        <w:pStyle w:val="Lijstnummering"/>
        <w:numPr>
          <w:ilvl w:val="0"/>
          <w:numId w:val="31"/>
        </w:numPr>
      </w:pPr>
      <w:r w:rsidRPr="00E30BBE">
        <w:rPr>
          <w:rStyle w:val="normaltextrun"/>
          <w:szCs w:val="20"/>
        </w:rPr>
        <w:t xml:space="preserve">Vermijd, in het kader van de technische en beroepsbekwaamheid, in de mate van het mogelijke het gebruik van dure certificaten. De kost voor het bekomen van een dergelijke certificaat weegt voor een onderneming vaak niet op tegen het </w:t>
      </w:r>
      <w:r w:rsidRPr="003A6A61">
        <w:rPr>
          <w:rStyle w:val="normaltextrun"/>
          <w:i/>
          <w:iCs/>
          <w:szCs w:val="20"/>
        </w:rPr>
        <w:t>mogelijk</w:t>
      </w:r>
      <w:r w:rsidRPr="00E30BBE">
        <w:rPr>
          <w:rStyle w:val="normaltextrun"/>
          <w:szCs w:val="20"/>
        </w:rPr>
        <w:t xml:space="preserve"> toegekend krijgen van de opdracht, waardoor het voor veel ondernemingen onrendabel wordt om te participeren aan de opdracht. </w:t>
      </w:r>
      <w:r w:rsidRPr="00E30BBE">
        <w:rPr>
          <w:rStyle w:val="eop"/>
          <w:szCs w:val="20"/>
        </w:rPr>
        <w:t> </w:t>
      </w:r>
    </w:p>
    <w:p w14:paraId="64DAF379" w14:textId="77777777" w:rsidR="00E30BBE" w:rsidRPr="003D534F" w:rsidRDefault="00E30BBE">
      <w:pPr>
        <w:pStyle w:val="Lijstnummering"/>
        <w:numPr>
          <w:ilvl w:val="0"/>
          <w:numId w:val="31"/>
        </w:numPr>
      </w:pPr>
      <w:r w:rsidRPr="00E30BBE">
        <w:rPr>
          <w:rStyle w:val="normaltextrun"/>
          <w:szCs w:val="20"/>
        </w:rPr>
        <w:t xml:space="preserve">Onthoud dat hoe specifieker de selectiecriteria, hoe kleiner de mededinging zal zijn. De aanbesteder moet zich afvragen of het eisen van een heel specifieke referentie of iets dergelijk werkelijk noodzakelijk is om een bepaalde bekwaamheid te kunnen aantonen. Ga na of die bepaalde bekwaamheid niet op een veel bredere manier bevraagd kan worden. </w:t>
      </w:r>
      <w:r w:rsidRPr="00E30BBE">
        <w:rPr>
          <w:rStyle w:val="normaltextrun"/>
          <w:b/>
          <w:bCs/>
          <w:szCs w:val="20"/>
        </w:rPr>
        <w:t>Opnieuw blijkt een goede marktverkenning dus cruciaal</w:t>
      </w:r>
      <w:r w:rsidRPr="00C25C0D">
        <w:rPr>
          <w:rStyle w:val="normaltextrun"/>
          <w:b/>
          <w:bCs/>
          <w:szCs w:val="20"/>
        </w:rPr>
        <w:t>.</w:t>
      </w:r>
      <w:r w:rsidRPr="00E30BBE">
        <w:rPr>
          <w:rStyle w:val="normaltextrun"/>
          <w:szCs w:val="20"/>
        </w:rPr>
        <w:t> </w:t>
      </w:r>
      <w:r w:rsidRPr="00E30BBE">
        <w:rPr>
          <w:rStyle w:val="eop"/>
          <w:szCs w:val="20"/>
        </w:rPr>
        <w:t> </w:t>
      </w:r>
    </w:p>
    <w:p w14:paraId="3EBB536E" w14:textId="0FD3B377" w:rsidR="00E30BBE" w:rsidRDefault="00E30BBE">
      <w:pPr>
        <w:pStyle w:val="Lijstnummering"/>
        <w:numPr>
          <w:ilvl w:val="0"/>
          <w:numId w:val="31"/>
        </w:numPr>
        <w:rPr>
          <w:rStyle w:val="eop"/>
          <w:szCs w:val="20"/>
        </w:rPr>
      </w:pPr>
      <w:r w:rsidRPr="00E30BBE">
        <w:rPr>
          <w:rStyle w:val="normaltextrun"/>
          <w:szCs w:val="20"/>
        </w:rPr>
        <w:t xml:space="preserve">Ga steeds na welke informatie reeds beschikbaar is in bijvoorbeeld de Telemarc-applicatie. Dat is niet alleen </w:t>
      </w:r>
      <w:r w:rsidR="005F07C6">
        <w:rPr>
          <w:rStyle w:val="normaltextrun"/>
          <w:szCs w:val="20"/>
        </w:rPr>
        <w:t>attent</w:t>
      </w:r>
      <w:r w:rsidR="005F07C6" w:rsidRPr="00E30BBE">
        <w:rPr>
          <w:rStyle w:val="normaltextrun"/>
          <w:szCs w:val="20"/>
        </w:rPr>
        <w:t xml:space="preserve"> </w:t>
      </w:r>
      <w:r w:rsidRPr="00E30BBE">
        <w:rPr>
          <w:rStyle w:val="normaltextrun"/>
          <w:szCs w:val="20"/>
        </w:rPr>
        <w:t>ten aanzien van de onderneming, dat is ook een wettelijke vereiste. </w:t>
      </w:r>
      <w:r w:rsidRPr="00E30BBE">
        <w:rPr>
          <w:rStyle w:val="eop"/>
          <w:szCs w:val="20"/>
        </w:rPr>
        <w:t> </w:t>
      </w:r>
    </w:p>
    <w:p w14:paraId="74E1D884" w14:textId="4DC7823C" w:rsidR="0019400F" w:rsidRDefault="00E30BBE" w:rsidP="00E30BBE">
      <w:pPr>
        <w:pStyle w:val="Kop3"/>
      </w:pPr>
      <w:bookmarkStart w:id="141" w:name="_Toc135839988"/>
      <w:bookmarkStart w:id="142" w:name="_Toc150870593"/>
      <w:r>
        <w:t>Vereisten bij de uitvoering van de opdracht</w:t>
      </w:r>
      <w:bookmarkEnd w:id="141"/>
      <w:bookmarkEnd w:id="142"/>
    </w:p>
    <w:p w14:paraId="415D11BF" w14:textId="4104A660" w:rsidR="00C03AC2" w:rsidRPr="00B34F40" w:rsidRDefault="00F23691" w:rsidP="00E30BBE">
      <w:pPr>
        <w:pStyle w:val="Kop4"/>
        <w:rPr>
          <w:lang w:val="nl-BE"/>
        </w:rPr>
      </w:pPr>
      <w:r w:rsidRPr="00B34F40">
        <w:rPr>
          <w:lang w:val="nl-BE"/>
        </w:rPr>
        <w:t>De b</w:t>
      </w:r>
      <w:r w:rsidR="00C03AC2" w:rsidRPr="00B34F40">
        <w:rPr>
          <w:lang w:val="nl-BE"/>
        </w:rPr>
        <w:t>orgtocht</w:t>
      </w:r>
    </w:p>
    <w:p w14:paraId="5A557E47" w14:textId="3C265621" w:rsidR="009F72C0" w:rsidRPr="00B34F40" w:rsidRDefault="00840637" w:rsidP="009F72C0">
      <w:r w:rsidRPr="00B34F40">
        <w:t>Voor</w:t>
      </w:r>
      <w:r w:rsidR="00942209" w:rsidRPr="00B34F40">
        <w:t>afgaand aan</w:t>
      </w:r>
      <w:r w:rsidRPr="00B34F40">
        <w:t xml:space="preserve"> de update van artikel 25 van het KB AUR</w:t>
      </w:r>
      <w:r w:rsidR="009F72C0" w:rsidRPr="00B34F40">
        <w:t xml:space="preserve"> werden </w:t>
      </w:r>
      <w:r w:rsidRPr="00B34F40">
        <w:t xml:space="preserve">de regels </w:t>
      </w:r>
      <w:r w:rsidR="007F4AE8" w:rsidRPr="00B34F40">
        <w:t>zo</w:t>
      </w:r>
      <w:r w:rsidR="009F72C0" w:rsidRPr="00B34F40">
        <w:t xml:space="preserve"> geïnterpreteerd dat ze in principe een borgtocht opleg</w:t>
      </w:r>
      <w:r w:rsidR="00E9128B" w:rsidRPr="00B34F40">
        <w:t>d</w:t>
      </w:r>
      <w:r w:rsidR="009F72C0" w:rsidRPr="00B34F40">
        <w:t xml:space="preserve">en voor alle opdrachten, </w:t>
      </w:r>
      <w:r w:rsidR="00293C20" w:rsidRPr="00B34F40">
        <w:t>op</w:t>
      </w:r>
      <w:r w:rsidR="009F72C0" w:rsidRPr="00B34F40">
        <w:t xml:space="preserve"> enkele limitatief opgesomde uitzonderingen</w:t>
      </w:r>
      <w:r w:rsidR="00293C20" w:rsidRPr="00B34F40">
        <w:t xml:space="preserve"> na</w:t>
      </w:r>
      <w:r w:rsidR="009F72C0" w:rsidRPr="00B34F40">
        <w:t xml:space="preserve">. Daarom werd besloten </w:t>
      </w:r>
      <w:r w:rsidR="00C8494F" w:rsidRPr="00B34F40">
        <w:t>om de reglementering</w:t>
      </w:r>
      <w:r w:rsidR="009F72C0" w:rsidRPr="00B34F40">
        <w:t xml:space="preserve"> te versoepelen.</w:t>
      </w:r>
    </w:p>
    <w:p w14:paraId="1CDA52EB" w14:textId="6CC1C270" w:rsidR="009F72C0" w:rsidRPr="00B34F40" w:rsidRDefault="000009D2" w:rsidP="009F72C0">
      <w:r w:rsidRPr="00B34F40">
        <w:rPr>
          <w:b/>
          <w:bCs/>
        </w:rPr>
        <w:t>In het algemeen wordt d</w:t>
      </w:r>
      <w:r w:rsidR="009F72C0" w:rsidRPr="00B34F40">
        <w:rPr>
          <w:b/>
          <w:bCs/>
        </w:rPr>
        <w:t>e aanbesteder aangeraden geen borgtocht op te leggen als dat niet nodig is</w:t>
      </w:r>
      <w:r w:rsidR="009F72C0" w:rsidRPr="00300B55">
        <w:rPr>
          <w:b/>
          <w:bCs/>
        </w:rPr>
        <w:t>.</w:t>
      </w:r>
      <w:r w:rsidR="009F72C0" w:rsidRPr="00B34F40">
        <w:t xml:space="preserve"> Een borgtocht heeft immers financiële gevolgen voor de ondernemer die een deel van zijn liquide middelen geblokkeerd ziet. In geval van een borgtocht wordt bovendien niet alleen de ondernemer met aanzienlijke administratieve lasten geconfronteerd, maar ook de aanbesteder die de nodige controles moet verrichten.</w:t>
      </w:r>
    </w:p>
    <w:p w14:paraId="211CA2C4" w14:textId="26A91EEC" w:rsidR="009F72C0" w:rsidRDefault="009F72C0" w:rsidP="009F72C0">
      <w:r w:rsidRPr="00B34F40">
        <w:t xml:space="preserve">Het systematisch opleggen van de borgtocht kan dus een belemmering vormen voor de deelname van kmo's aan overheidsopdrachten. Daarom </w:t>
      </w:r>
      <w:r w:rsidR="00EB6121" w:rsidRPr="00B34F40">
        <w:t>is</w:t>
      </w:r>
      <w:r w:rsidRPr="00B34F40">
        <w:t xml:space="preserve"> het </w:t>
      </w:r>
      <w:r w:rsidRPr="00B34F40">
        <w:rPr>
          <w:b/>
          <w:bCs/>
        </w:rPr>
        <w:t>belangrijk om geen borgtocht op te leggen</w:t>
      </w:r>
      <w:r w:rsidR="00D70162" w:rsidRPr="00B34F40">
        <w:rPr>
          <w:b/>
          <w:bCs/>
        </w:rPr>
        <w:t xml:space="preserve"> als dat niet nodig is in het licht van het risico op een slechte uitvoering</w:t>
      </w:r>
      <w:r w:rsidRPr="00B34F40">
        <w:t>.</w:t>
      </w:r>
      <w:r w:rsidR="00543867" w:rsidRPr="00B34F40">
        <w:t xml:space="preserve"> </w:t>
      </w:r>
      <w:r w:rsidR="00B84112" w:rsidRPr="00B34F40">
        <w:t>Zo</w:t>
      </w:r>
      <w:r w:rsidRPr="00B34F40">
        <w:t xml:space="preserve"> moet een</w:t>
      </w:r>
      <w:r w:rsidRPr="00903515">
        <w:t xml:space="preserve"> aanbesteder die een opdracht wil gunnen in een fraudegevoelige sector </w:t>
      </w:r>
      <w:r w:rsidR="00543867">
        <w:t xml:space="preserve">vanzelfsprekend </w:t>
      </w:r>
      <w:r>
        <w:t>de nodige voorzichtigheid aan de dag leggen</w:t>
      </w:r>
      <w:r w:rsidRPr="00903515">
        <w:t xml:space="preserve">. In </w:t>
      </w:r>
      <w:r w:rsidR="0052797B">
        <w:t xml:space="preserve">zo’n geval kan het </w:t>
      </w:r>
      <w:r w:rsidR="00513ADE">
        <w:t xml:space="preserve">dus </w:t>
      </w:r>
      <w:r w:rsidRPr="00903515">
        <w:t>wenselijk</w:t>
      </w:r>
      <w:r w:rsidR="004F013D">
        <w:t xml:space="preserve"> of zelfs aangewezen</w:t>
      </w:r>
      <w:r w:rsidRPr="00903515">
        <w:t xml:space="preserve"> zijn een borgtocht te eisen.</w:t>
      </w:r>
    </w:p>
    <w:p w14:paraId="7F675293" w14:textId="32BE11B2" w:rsidR="00715E67" w:rsidRDefault="007D4E62" w:rsidP="009F72C0">
      <w:r>
        <w:t>Zoals reeds aangegeven</w:t>
      </w:r>
      <w:r w:rsidR="009A636C">
        <w:t xml:space="preserve"> vereist h</w:t>
      </w:r>
      <w:r w:rsidR="00715E67">
        <w:t xml:space="preserve">et niet opleggen van een borgtocht </w:t>
      </w:r>
      <w:r w:rsidR="00FD5FC3">
        <w:t>vandaag enkel</w:t>
      </w:r>
      <w:r w:rsidR="004F013D">
        <w:t xml:space="preserve"> nog</w:t>
      </w:r>
      <w:r w:rsidR="00FD5FC3">
        <w:t xml:space="preserve"> een dergelijke bepaling </w:t>
      </w:r>
      <w:r w:rsidR="00AA561D">
        <w:t>in de opdrachtdocumenten</w:t>
      </w:r>
      <w:r w:rsidR="00A65CDD">
        <w:t xml:space="preserve"> en geen rec</w:t>
      </w:r>
      <w:r w:rsidR="006408B3">
        <w:t xml:space="preserve">htvaardiging ervan. </w:t>
      </w:r>
      <w:r w:rsidR="00F00E10" w:rsidRPr="00C03DE9">
        <w:t xml:space="preserve">Daarnaast </w:t>
      </w:r>
      <w:r w:rsidR="009F7ADE" w:rsidRPr="00C03DE9">
        <w:t>mag het niet (meer) opleggen van een borgtocht</w:t>
      </w:r>
      <w:r w:rsidR="000418DB" w:rsidRPr="00C03DE9">
        <w:t xml:space="preserve"> niet leiden tot een reflex bij aanbesteders</w:t>
      </w:r>
      <w:r w:rsidR="006564B8" w:rsidRPr="00C03DE9">
        <w:t xml:space="preserve"> tot het zoeken of introduceren </w:t>
      </w:r>
      <w:r w:rsidR="00BC73E5" w:rsidRPr="00C03DE9">
        <w:t xml:space="preserve">van alternatieve instrumenten of bepalingen </w:t>
      </w:r>
      <w:r w:rsidR="001847A0" w:rsidRPr="00C03DE9">
        <w:t xml:space="preserve">in de opdrachtdocumenten </w:t>
      </w:r>
      <w:r w:rsidR="00BC73E5" w:rsidRPr="00C03DE9">
        <w:t xml:space="preserve">met een gelijkaardig </w:t>
      </w:r>
      <w:r w:rsidR="00263F6D" w:rsidRPr="00C03DE9">
        <w:t>doel</w:t>
      </w:r>
      <w:r w:rsidR="0025492A" w:rsidRPr="00C03DE9">
        <w:t xml:space="preserve"> als de borg</w:t>
      </w:r>
      <w:r w:rsidR="001B146E" w:rsidRPr="00C03DE9">
        <w:t>tocht</w:t>
      </w:r>
      <w:r w:rsidR="00BC73E5" w:rsidRPr="00C03DE9">
        <w:t>.</w:t>
      </w:r>
      <w:r w:rsidR="00BC73E5">
        <w:t xml:space="preserve"> </w:t>
      </w:r>
    </w:p>
    <w:p w14:paraId="629D0734" w14:textId="587B7103" w:rsidR="009F72C0" w:rsidRDefault="009F72C0" w:rsidP="009F72C0">
      <w:r w:rsidRPr="00633210">
        <w:t xml:space="preserve">Voortaan zal het </w:t>
      </w:r>
      <w:r>
        <w:t>drempel</w:t>
      </w:r>
      <w:r w:rsidRPr="00633210">
        <w:t>bedrag van 50</w:t>
      </w:r>
      <w:r w:rsidR="002837CC">
        <w:t>.</w:t>
      </w:r>
      <w:r w:rsidRPr="00633210">
        <w:t>000 euro</w:t>
      </w:r>
      <w:r w:rsidR="004443E7">
        <w:t xml:space="preserve"> voor het opleggen van een borgtocht</w:t>
      </w:r>
      <w:r w:rsidRPr="00633210">
        <w:t xml:space="preserve"> niet alleen gelden voor de klassieke sectoren</w:t>
      </w:r>
      <w:r w:rsidR="007B5F2E">
        <w:t>,</w:t>
      </w:r>
      <w:r w:rsidRPr="00633210">
        <w:t xml:space="preserve"> maar ook voor de speciale sectoren.</w:t>
      </w:r>
      <w:r>
        <w:t xml:space="preserve"> </w:t>
      </w:r>
      <w:r w:rsidRPr="00633210">
        <w:t>Wat de uitzondering betreft voor opdrachten waarvan het bedrag lager is dan 50</w:t>
      </w:r>
      <w:r w:rsidR="002837CC">
        <w:t>.</w:t>
      </w:r>
      <w:r w:rsidRPr="00633210">
        <w:t>000 euro, moet bovendien het gunningsbedrag en niet de geraamde waarde in aanmerking worden genomen.</w:t>
      </w:r>
    </w:p>
    <w:p w14:paraId="4405C114" w14:textId="1B8F1F4F" w:rsidR="00E670ED" w:rsidRDefault="00E670ED" w:rsidP="009F72C0">
      <w:r>
        <w:t>Merken we op dat artikel 9</w:t>
      </w:r>
      <w:r w:rsidR="00643A48">
        <w:t xml:space="preserve">, </w:t>
      </w:r>
      <w:r w:rsidR="00023BD8">
        <w:t>§4 van het KB AUR</w:t>
      </w:r>
      <w:r w:rsidR="00994F7B">
        <w:t xml:space="preserve"> inzake </w:t>
      </w:r>
      <w:r w:rsidR="00E46753">
        <w:t>afwijkingen van</w:t>
      </w:r>
      <w:r w:rsidR="00A351BA">
        <w:t xml:space="preserve"> bepaalde verplichte bepalingen van kracht blijft op het</w:t>
      </w:r>
      <w:r w:rsidR="008014ED">
        <w:t xml:space="preserve"> vernieuwde artikel </w:t>
      </w:r>
      <w:r w:rsidR="0009422C">
        <w:t>25</w:t>
      </w:r>
      <w:r w:rsidR="005E6E5A">
        <w:t>. Het is immers op basis van artikel</w:t>
      </w:r>
      <w:r w:rsidR="00277145">
        <w:t xml:space="preserve"> 9, §4</w:t>
      </w:r>
      <w:r w:rsidR="005E6E5A">
        <w:t xml:space="preserve"> dat </w:t>
      </w:r>
      <w:r w:rsidR="00211702">
        <w:t xml:space="preserve">bijvoorbeeld </w:t>
      </w:r>
      <w:r w:rsidR="005E6E5A">
        <w:t>een hogere</w:t>
      </w:r>
      <w:r w:rsidR="0047207A">
        <w:t xml:space="preserve"> borgtocht kan worden opgelegd,</w:t>
      </w:r>
      <w:r w:rsidR="008F3C59">
        <w:t xml:space="preserve"> mits motivering. </w:t>
      </w:r>
      <w:r w:rsidR="0047207A">
        <w:t xml:space="preserve"> </w:t>
      </w:r>
    </w:p>
    <w:p w14:paraId="3D2A331A" w14:textId="77777777" w:rsidR="009F72C0" w:rsidRDefault="009F72C0" w:rsidP="009F72C0">
      <w:r>
        <w:t xml:space="preserve">Wat de raamovereenkomst betreft, behoudt de aanbesteder de mogelijkheid om ofwel een borgtocht per gesloten opdracht, ofwel een globale borgtocht voor de hele raamovereenkomst op </w:t>
      </w:r>
      <w:r>
        <w:lastRenderedPageBreak/>
        <w:t>te leggen (alleen indien de raamovereenkomst met één opdrachtnemer wordt gesloten). Wat de borgtocht voor een op een raamovereenkomst gebaseerde opdracht betreft, gelden de algemene regels inzake borgtocht.</w:t>
      </w:r>
    </w:p>
    <w:p w14:paraId="16F744CA" w14:textId="77777777" w:rsidR="009F72C0" w:rsidRDefault="009F72C0" w:rsidP="009F72C0">
      <w:r>
        <w:t>Wanneer er een globale borgtocht voor de raamovereenkomst wordt gesteld (gesloten met slechts één opdrachtnemer), dan wordt deze vastgesteld op drie procent van het geraamde bedrag van de raamovereenkomst. De aanbesteder kan (opnieuw) een percentage van minder dan drie procent vaststellen door een bepaling in die zin op te nemen in de opdrachtdocumenten.</w:t>
      </w:r>
    </w:p>
    <w:p w14:paraId="40596482" w14:textId="6881DF1E" w:rsidR="00C03AC2" w:rsidRDefault="009F72C0" w:rsidP="00E401CE">
      <w:r>
        <w:t xml:space="preserve">Raamovereenkomsten kunnen een nuttig instrument </w:t>
      </w:r>
      <w:r w:rsidR="00DA76F6">
        <w:t>vormen</w:t>
      </w:r>
      <w:r>
        <w:t xml:space="preserve">. </w:t>
      </w:r>
      <w:r w:rsidR="00D15343">
        <w:t>Echter, de aanbesteder heeft</w:t>
      </w:r>
      <w:r>
        <w:t>, met het oog op het bekomen van interessante offertes, er alle belang bij minimale hoeveelheden te garanderen in de opdrachtdocumenten, om het volledige potentieel van deze aankooptechniek te valoriseren</w:t>
      </w:r>
      <w:r w:rsidR="00DA76F6">
        <w:t xml:space="preserve"> – zie ook principe </w:t>
      </w:r>
      <w:r w:rsidR="00C03DE9">
        <w:t>12</w:t>
      </w:r>
      <w:r>
        <w:t>. Indien er veel onduidelijkheid zou zijn over de vraag of er effectief wel evenveel besteld zal worden onder de raamovereenkomst als geraamd, opteert de aanbesteder beter niet voor een globale borgstelling, aangezien dit dan kan leiden tot een disproportioneel hoge borgtocht.</w:t>
      </w:r>
    </w:p>
    <w:p w14:paraId="2C2472F9" w14:textId="1BF6C8E9" w:rsidR="004E6553" w:rsidRDefault="004E6553" w:rsidP="00E401CE">
      <w:r>
        <w:t>Het charter vraagt dan ook om, in de mate van het mogelijke</w:t>
      </w:r>
      <w:r w:rsidR="00D709A0">
        <w:t>,</w:t>
      </w:r>
      <w:r>
        <w:t xml:space="preserve"> in </w:t>
      </w:r>
      <w:r w:rsidR="008A0355">
        <w:t>het</w:t>
      </w:r>
      <w:r w:rsidR="00344294">
        <w:t xml:space="preserve"> g</w:t>
      </w:r>
      <w:r>
        <w:t>eval</w:t>
      </w:r>
      <w:r w:rsidR="008A0355">
        <w:t xml:space="preserve"> van een raamovereenkomst met één opdrachtnemer</w:t>
      </w:r>
      <w:r w:rsidR="006277F1">
        <w:t>,</w:t>
      </w:r>
      <w:r>
        <w:t xml:space="preserve"> </w:t>
      </w:r>
      <w:r w:rsidR="00344294">
        <w:t xml:space="preserve">te opteren </w:t>
      </w:r>
      <w:r>
        <w:t>voor een borgtocht per gesloten opdracht. Een globale borgtocht opleggen kan indien dat geen belemmering vormt voor de mededinging en wanneer dat de administratieve lasten voor zowel onderneming als aanbesteder ten goede komt.</w:t>
      </w:r>
    </w:p>
    <w:p w14:paraId="3647AF53" w14:textId="77777777" w:rsidR="006A1643" w:rsidRPr="00B34F40" w:rsidRDefault="006A1643" w:rsidP="006A1643">
      <w:pPr>
        <w:pStyle w:val="Kop4"/>
        <w:rPr>
          <w:lang w:val="nl-BE"/>
        </w:rPr>
      </w:pPr>
      <w:r w:rsidRPr="00B34F40">
        <w:rPr>
          <w:lang w:val="nl-BE"/>
        </w:rPr>
        <w:t>Voorschotten</w:t>
      </w:r>
    </w:p>
    <w:tbl>
      <w:tblPr>
        <w:tblStyle w:val="Tabelraster"/>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7922C8" w:rsidRPr="00CB7F27" w14:paraId="5F22AA08" w14:textId="77777777" w:rsidTr="00C65586">
        <w:tc>
          <w:tcPr>
            <w:tcW w:w="5000" w:type="pct"/>
            <w:shd w:val="clear" w:color="auto" w:fill="FFF2CC" w:themeFill="accent4" w:themeFillTint="33"/>
          </w:tcPr>
          <w:p w14:paraId="771DCA7B" w14:textId="77777777" w:rsidR="006A1643" w:rsidRPr="00CB7F27" w:rsidRDefault="006A1643" w:rsidP="00C65586">
            <w:pPr>
              <w:rPr>
                <w:b/>
                <w:bCs/>
                <w:i/>
                <w:iCs/>
              </w:rPr>
            </w:pPr>
            <w:r w:rsidRPr="00AF6967">
              <w:rPr>
                <w:b/>
                <w:bCs/>
                <w:i/>
                <w:iCs/>
              </w:rPr>
              <w:t>Toekomstig recht</w:t>
            </w:r>
          </w:p>
        </w:tc>
      </w:tr>
      <w:tr w:rsidR="007922C8" w:rsidRPr="00B34F40" w14:paraId="1A34A8B5" w14:textId="77777777" w:rsidTr="00D574CF">
        <w:trPr>
          <w:trHeight w:val="1270"/>
        </w:trPr>
        <w:tc>
          <w:tcPr>
            <w:tcW w:w="5000" w:type="pct"/>
            <w:shd w:val="clear" w:color="auto" w:fill="FFF2CC" w:themeFill="accent4" w:themeFillTint="33"/>
          </w:tcPr>
          <w:p w14:paraId="5A006B62" w14:textId="4D988C2C" w:rsidR="006A1643" w:rsidRPr="00B34F40" w:rsidRDefault="006A1643" w:rsidP="00C65586">
            <w:r w:rsidRPr="00B34F40">
              <w:t xml:space="preserve">Via een update van de wet overheidsopdrachten wordt voorzien in een nieuw wetgevend kader over het gebruik van voorschotten. </w:t>
            </w:r>
          </w:p>
          <w:p w14:paraId="55551B9D" w14:textId="37188E88" w:rsidR="006D569D" w:rsidRPr="00B34F40" w:rsidRDefault="00B8722E" w:rsidP="00C65586">
            <w:r w:rsidRPr="00B34F40">
              <w:t xml:space="preserve">De nadruk ligt daarbij op de verbetering van de betalingsvoorwaarden door het verplicht toekennen, </w:t>
            </w:r>
            <w:r w:rsidR="00074008" w:rsidRPr="00B34F40">
              <w:t>in een aantal</w:t>
            </w:r>
            <w:r w:rsidRPr="00B34F40">
              <w:t xml:space="preserve"> gevallen, van voorschotten aan kmo’s in oplopende percentages naargelang de omvang van de onderneming, teneinde rekening te houden met de spanningen op het vlak van de cashflow die door de deelname aan een overheidsopdracht kunnen ontstaan.</w:t>
            </w:r>
          </w:p>
          <w:p w14:paraId="6F5E6243" w14:textId="56182FE8" w:rsidR="00B86935" w:rsidRPr="00B34F40" w:rsidRDefault="00B86935" w:rsidP="00C65586">
            <w:r w:rsidRPr="00B34F40">
              <w:t>Het indienen van een offerte in het kader van een plaatsingsprocedure kan immers een aanzienlijke investering betekenen voor ondernemers, en vooral voor kleinere ondernemingen. De betaling van een voorschot stelt de opdrachtnemer in staat zijn liquiditeiten te vergroten in afwachting van de betaling van de eerste factuur.</w:t>
            </w:r>
          </w:p>
          <w:p w14:paraId="71BBBF8A" w14:textId="79A612C1" w:rsidR="00E62025" w:rsidRPr="00B34F40" w:rsidRDefault="002117F5" w:rsidP="00C65586">
            <w:r w:rsidRPr="00B34F40">
              <w:t xml:space="preserve">Vooruitbetaling vóór de uitvoering van de opdracht houdt een financieel risico in indien de opdrachtnemer de opdracht niet of niet naar behoren uitvoert. Dit risico is echter gering in het kader van overheidsopdrachten. </w:t>
            </w:r>
            <w:r w:rsidR="001907C4" w:rsidRPr="00B34F40">
              <w:t>Zo</w:t>
            </w:r>
            <w:r w:rsidRPr="00B34F40">
              <w:t xml:space="preserve"> moeten</w:t>
            </w:r>
            <w:r w:rsidR="001907C4" w:rsidRPr="00B34F40">
              <w:t xml:space="preserve"> aanbesteders</w:t>
            </w:r>
            <w:r w:rsidRPr="00B34F40">
              <w:t xml:space="preserve"> de betrouwbaarheid van de ondernemers nazien, met name door het nazicht van de uitsluitingsgronden. De afwezigheid van fiscale en sociale schulden, maar ook de afwezigheid van beroepsfouten, vormen indicaties van d</w:t>
            </w:r>
            <w:r w:rsidR="00D4193D" w:rsidRPr="00B34F40">
              <w:t>i</w:t>
            </w:r>
            <w:r w:rsidRPr="00B34F40">
              <w:t>e betrouwbaarheid.</w:t>
            </w:r>
          </w:p>
          <w:p w14:paraId="527A45D5" w14:textId="70036AC7" w:rsidR="00DB49D7" w:rsidRPr="00B34F40" w:rsidRDefault="00DB49D7" w:rsidP="00C65586">
            <w:r w:rsidRPr="00B34F40">
              <w:t xml:space="preserve">Daarnaast wordt het bedrag van het voorschot dat kan of moet </w:t>
            </w:r>
            <w:r w:rsidR="007C3ED2" w:rsidRPr="00B34F40">
              <w:t xml:space="preserve">worden </w:t>
            </w:r>
            <w:r w:rsidRPr="00B34F40">
              <w:t>toegekend</w:t>
            </w:r>
            <w:r w:rsidR="007C3ED2" w:rsidRPr="00B34F40">
              <w:t>,</w:t>
            </w:r>
            <w:r w:rsidRPr="00B34F40">
              <w:t xml:space="preserve"> afgetopt, om de budgettaire risico</w:t>
            </w:r>
            <w:r w:rsidR="00330EA4" w:rsidRPr="00B34F40">
              <w:t>’</w:t>
            </w:r>
            <w:r w:rsidRPr="00B34F40">
              <w:t>s voor de aanbesteders onder controle te houden. Immers kan het risico op faillissement niet geheel vermeden worden. Daartoe wordt</w:t>
            </w:r>
            <w:r w:rsidR="005A2D8B" w:rsidRPr="00B34F40">
              <w:t>, behoudens een aantal uitzonderingen,</w:t>
            </w:r>
            <w:r w:rsidRPr="00B34F40">
              <w:t xml:space="preserve"> meer bepaald in een plafondbedrag van 225.000 euro voorzien. </w:t>
            </w:r>
          </w:p>
          <w:p w14:paraId="72E7E17A" w14:textId="2612C573" w:rsidR="00AD7890" w:rsidRPr="00B34F40" w:rsidRDefault="00AD7890" w:rsidP="00C65586">
            <w:r w:rsidRPr="00B34F40">
              <w:t>Bovendien is er</w:t>
            </w:r>
            <w:r w:rsidR="004A6617" w:rsidRPr="00B34F40">
              <w:t xml:space="preserve"> de</w:t>
            </w:r>
            <w:r w:rsidRPr="00B34F40">
              <w:t xml:space="preserve"> limiet van twintig procent</w:t>
            </w:r>
            <w:r w:rsidR="004A6617" w:rsidRPr="00B34F40">
              <w:t>, opnieuw behoudens uitzonderingsgevallen</w:t>
            </w:r>
            <w:r w:rsidRPr="00B34F40">
              <w:t>. Indien de aanbesteders te veel vooruit zouden betalen, zouden zij in een situatie terechtkomen waarin zij over te weinig actiemiddelen ten aanzien van de opdrachtnemer beschikken om een behoorlijke uitvoering van de opdracht te eisen.</w:t>
            </w:r>
          </w:p>
          <w:p w14:paraId="0F4FEE4E" w14:textId="4C9122B9" w:rsidR="00E968DF" w:rsidRPr="00B34F40" w:rsidRDefault="00E968DF" w:rsidP="00C65586">
            <w:r w:rsidRPr="00B34F40">
              <w:t>De dubbele beperking van het voorschot zorgt er eveneens voor dat kmo</w:t>
            </w:r>
            <w:r w:rsidR="00330EA4" w:rsidRPr="00B34F40">
              <w:t>’</w:t>
            </w:r>
            <w:r w:rsidRPr="00B34F40">
              <w:t>s niet in staat zullen zijn in te schrijven met een lagere prijs</w:t>
            </w:r>
            <w:r w:rsidR="00330EA4" w:rsidRPr="00B34F40">
              <w:t xml:space="preserve"> louter op basis van het voorschot</w:t>
            </w:r>
            <w:r w:rsidRPr="00B34F40">
              <w:t>.</w:t>
            </w:r>
          </w:p>
          <w:p w14:paraId="7ED85C52" w14:textId="5CCB35E0" w:rsidR="00B7788F" w:rsidRPr="00B34F40" w:rsidRDefault="00FA7492" w:rsidP="00C65586">
            <w:r w:rsidRPr="00B34F40">
              <w:t xml:space="preserve">Er werden ook een aantal uitzonderingen voorzien op de nieuwe verplichting tot het uitbetalen van voorschotten. Het betreft gevallen waarbij de aanbesteder het financieringsmoment net wil verschuiven, zodat het onlogisch zou zijn om in dergelijke gevallen het toekennen van een </w:t>
            </w:r>
            <w:r w:rsidRPr="00B34F40">
              <w:lastRenderedPageBreak/>
              <w:t xml:space="preserve">voorschot te verplichten. Bij overheidsopdrachten met een uitvoeringstermijn die korter is dan twee maanden is dat eveneens </w:t>
            </w:r>
            <w:r w:rsidR="00D17CD7" w:rsidRPr="00B34F40">
              <w:t>onlogisch</w:t>
            </w:r>
            <w:r w:rsidRPr="00B34F40">
              <w:t>, aangezien de eigenlijke betaling vlug zal volgen</w:t>
            </w:r>
            <w:r w:rsidR="004A06E8" w:rsidRPr="00B34F40">
              <w:t>.</w:t>
            </w:r>
          </w:p>
          <w:p w14:paraId="63E2A37A" w14:textId="39404EBF" w:rsidR="00F33038" w:rsidRPr="00B34F40" w:rsidRDefault="00F33038" w:rsidP="00C65586">
            <w:r w:rsidRPr="00B34F40">
              <w:t>De reden dat er voor een algemene verplichting wordt geopteerd tot het toekennen van een voorschot bij een OPZB</w:t>
            </w:r>
            <w:r w:rsidR="003B675A" w:rsidRPr="00B34F40">
              <w:t xml:space="preserve"> of OPZ</w:t>
            </w:r>
            <w:r w:rsidR="002677BC" w:rsidRPr="00B34F40">
              <w:t>V</w:t>
            </w:r>
            <w:r w:rsidR="004F0449" w:rsidRPr="00B34F40">
              <w:t>OM</w:t>
            </w:r>
            <w:r w:rsidRPr="00B34F40">
              <w:t xml:space="preserve"> is dat vermeden moet worden dat aanbesteders enkel die ondernemingen zouden uitnodigen om een offerte in te dienen, waarvan zij weten dat aan deze ondernemingen geen voorschot zou moeten toegekend worden.</w:t>
            </w:r>
          </w:p>
          <w:p w14:paraId="492ED43D" w14:textId="58370994" w:rsidR="001F7FE4" w:rsidRPr="00B34F40" w:rsidRDefault="00C708D4" w:rsidP="00D574CF">
            <w:pPr>
              <w:spacing w:after="120"/>
            </w:pPr>
            <w:r w:rsidRPr="00B34F40">
              <w:t>Volgende tabel geeft een overzicht van de nieuwe situatie inzake de verplichte voorschotten</w:t>
            </w:r>
            <w:r w:rsidR="00E61B91" w:rsidRPr="00B34F40">
              <w:t xml:space="preserve"> en hun percentages</w:t>
            </w:r>
            <w:r w:rsidRPr="00B34F40">
              <w:t>, uitgezonderd de in de wetgeving vermelde uitzonderingsgevallen:</w:t>
            </w:r>
          </w:p>
          <w:tbl>
            <w:tblPr>
              <w:tblStyle w:val="Tabelraster"/>
              <w:tblW w:w="5000" w:type="pct"/>
              <w:tblLook w:val="04A0" w:firstRow="1" w:lastRow="0" w:firstColumn="1" w:lastColumn="0" w:noHBand="0" w:noVBand="1"/>
            </w:tblPr>
            <w:tblGrid>
              <w:gridCol w:w="2041"/>
              <w:gridCol w:w="2509"/>
              <w:gridCol w:w="1859"/>
              <w:gridCol w:w="1859"/>
            </w:tblGrid>
            <w:tr w:rsidR="007922C8" w:rsidRPr="00B34F40" w14:paraId="297C53C7" w14:textId="77777777" w:rsidTr="00D574CF">
              <w:tc>
                <w:tcPr>
                  <w:tcW w:w="1235" w:type="pct"/>
                  <w:shd w:val="clear" w:color="auto" w:fill="D9D9D9" w:themeFill="background1" w:themeFillShade="D9"/>
                  <w:vAlign w:val="center"/>
                </w:tcPr>
                <w:p w14:paraId="42CC46A4" w14:textId="5E51EE68" w:rsidR="00B7281B" w:rsidRPr="00B34F40" w:rsidRDefault="00B7281B" w:rsidP="00D574CF">
                  <w:pPr>
                    <w:jc w:val="center"/>
                    <w:rPr>
                      <w:b/>
                      <w:bCs/>
                    </w:rPr>
                  </w:pPr>
                  <w:r w:rsidRPr="00B34F40">
                    <w:rPr>
                      <w:b/>
                      <w:bCs/>
                    </w:rPr>
                    <w:t>Procedure</w:t>
                  </w:r>
                </w:p>
              </w:tc>
              <w:tc>
                <w:tcPr>
                  <w:tcW w:w="1517" w:type="pct"/>
                  <w:shd w:val="clear" w:color="auto" w:fill="D9D9D9" w:themeFill="background1" w:themeFillShade="D9"/>
                  <w:vAlign w:val="center"/>
                </w:tcPr>
                <w:p w14:paraId="31BED114" w14:textId="5F13A821" w:rsidR="00B7281B" w:rsidRPr="00B34F40" w:rsidRDefault="00B7281B" w:rsidP="00D574CF">
                  <w:pPr>
                    <w:jc w:val="center"/>
                    <w:rPr>
                      <w:b/>
                      <w:bCs/>
                    </w:rPr>
                  </w:pPr>
                  <w:r w:rsidRPr="00B34F40">
                    <w:rPr>
                      <w:b/>
                      <w:bCs/>
                    </w:rPr>
                    <w:t>Ondernemingsgrootte</w:t>
                  </w:r>
                </w:p>
              </w:tc>
              <w:tc>
                <w:tcPr>
                  <w:tcW w:w="1124" w:type="pct"/>
                  <w:shd w:val="clear" w:color="auto" w:fill="D9D9D9" w:themeFill="background1" w:themeFillShade="D9"/>
                  <w:vAlign w:val="center"/>
                </w:tcPr>
                <w:p w14:paraId="0067BB65" w14:textId="1A9D7108" w:rsidR="00B7281B" w:rsidRPr="00B34F40" w:rsidRDefault="001E7477" w:rsidP="00D574CF">
                  <w:pPr>
                    <w:jc w:val="center"/>
                    <w:rPr>
                      <w:b/>
                      <w:bCs/>
                    </w:rPr>
                  </w:pPr>
                  <w:r w:rsidRPr="00B34F40">
                    <w:rPr>
                      <w:b/>
                      <w:bCs/>
                    </w:rPr>
                    <w:t>Minimum</w:t>
                  </w:r>
                </w:p>
              </w:tc>
              <w:tc>
                <w:tcPr>
                  <w:tcW w:w="1124" w:type="pct"/>
                  <w:shd w:val="clear" w:color="auto" w:fill="D9D9D9" w:themeFill="background1" w:themeFillShade="D9"/>
                  <w:vAlign w:val="center"/>
                </w:tcPr>
                <w:p w14:paraId="22738145" w14:textId="033A84FB" w:rsidR="00B7281B" w:rsidRPr="00B34F40" w:rsidRDefault="001E7477" w:rsidP="00D574CF">
                  <w:pPr>
                    <w:jc w:val="center"/>
                    <w:rPr>
                      <w:b/>
                      <w:bCs/>
                    </w:rPr>
                  </w:pPr>
                  <w:r w:rsidRPr="00B34F40">
                    <w:rPr>
                      <w:b/>
                      <w:bCs/>
                    </w:rPr>
                    <w:t>Maximum</w:t>
                  </w:r>
                </w:p>
              </w:tc>
            </w:tr>
            <w:tr w:rsidR="007922C8" w:rsidRPr="00B34F40" w14:paraId="7656FF6A" w14:textId="77777777" w:rsidTr="00D574CF">
              <w:tc>
                <w:tcPr>
                  <w:tcW w:w="1235" w:type="pct"/>
                  <w:vAlign w:val="center"/>
                </w:tcPr>
                <w:p w14:paraId="0060E0B7" w14:textId="22B6A286" w:rsidR="00B7281B" w:rsidRPr="00B34F40" w:rsidRDefault="00C708D4" w:rsidP="00D574CF">
                  <w:pPr>
                    <w:jc w:val="left"/>
                  </w:pPr>
                  <w:r w:rsidRPr="00B34F40">
                    <w:t>OPZB/OPZ</w:t>
                  </w:r>
                  <w:r w:rsidR="004875A2" w:rsidRPr="00B34F40">
                    <w:t>V</w:t>
                  </w:r>
                  <w:r w:rsidRPr="00B34F40">
                    <w:t>OM</w:t>
                  </w:r>
                </w:p>
              </w:tc>
              <w:tc>
                <w:tcPr>
                  <w:tcW w:w="1517" w:type="pct"/>
                  <w:vAlign w:val="center"/>
                </w:tcPr>
                <w:p w14:paraId="1F997385" w14:textId="22FB67A7" w:rsidR="00B7281B" w:rsidRPr="00B34F40" w:rsidRDefault="00252B99" w:rsidP="00D574CF">
                  <w:pPr>
                    <w:jc w:val="left"/>
                  </w:pPr>
                  <w:r w:rsidRPr="00B34F40">
                    <w:t>Alle</w:t>
                  </w:r>
                </w:p>
              </w:tc>
              <w:tc>
                <w:tcPr>
                  <w:tcW w:w="1124" w:type="pct"/>
                  <w:vAlign w:val="center"/>
                </w:tcPr>
                <w:p w14:paraId="5CF18125" w14:textId="38E605EC" w:rsidR="00B7281B" w:rsidRPr="00B34F40" w:rsidRDefault="00252B99" w:rsidP="00D574CF">
                  <w:pPr>
                    <w:jc w:val="center"/>
                  </w:pPr>
                  <w:r w:rsidRPr="00B34F40">
                    <w:t>15%</w:t>
                  </w:r>
                </w:p>
              </w:tc>
              <w:tc>
                <w:tcPr>
                  <w:tcW w:w="1124" w:type="pct"/>
                  <w:vAlign w:val="center"/>
                </w:tcPr>
                <w:p w14:paraId="758AC2CA" w14:textId="3E652958" w:rsidR="00B7281B" w:rsidRPr="00B34F40" w:rsidRDefault="00252B99" w:rsidP="00D574CF">
                  <w:pPr>
                    <w:jc w:val="center"/>
                  </w:pPr>
                  <w:r w:rsidRPr="00B34F40">
                    <w:t>20%</w:t>
                  </w:r>
                </w:p>
              </w:tc>
            </w:tr>
            <w:tr w:rsidR="007922C8" w:rsidRPr="00B34F40" w14:paraId="6A4D72F4" w14:textId="77777777" w:rsidTr="00D574CF">
              <w:tc>
                <w:tcPr>
                  <w:tcW w:w="1235" w:type="pct"/>
                  <w:vAlign w:val="center"/>
                </w:tcPr>
                <w:p w14:paraId="31BF08E6" w14:textId="50B18C31" w:rsidR="00B7281B" w:rsidRPr="00B34F40" w:rsidRDefault="00252B99" w:rsidP="00D574CF">
                  <w:pPr>
                    <w:jc w:val="left"/>
                  </w:pPr>
                  <w:r w:rsidRPr="00B34F40">
                    <w:t>Andere</w:t>
                  </w:r>
                </w:p>
              </w:tc>
              <w:tc>
                <w:tcPr>
                  <w:tcW w:w="1517" w:type="pct"/>
                  <w:vAlign w:val="center"/>
                </w:tcPr>
                <w:p w14:paraId="08C51C7A" w14:textId="44D0937D" w:rsidR="00B7281B" w:rsidRPr="00B34F40" w:rsidRDefault="00252B99" w:rsidP="00D574CF">
                  <w:pPr>
                    <w:jc w:val="left"/>
                  </w:pPr>
                  <w:r w:rsidRPr="00B34F40">
                    <w:t>Micro-onderneming</w:t>
                  </w:r>
                </w:p>
              </w:tc>
              <w:tc>
                <w:tcPr>
                  <w:tcW w:w="1124" w:type="pct"/>
                  <w:vAlign w:val="center"/>
                </w:tcPr>
                <w:p w14:paraId="0CE21B49" w14:textId="7DC2D4D2" w:rsidR="00B7281B" w:rsidRPr="00B34F40" w:rsidRDefault="00D2724D" w:rsidP="00D574CF">
                  <w:pPr>
                    <w:jc w:val="center"/>
                  </w:pPr>
                  <w:r w:rsidRPr="00B34F40">
                    <w:t>20%</w:t>
                  </w:r>
                </w:p>
              </w:tc>
              <w:tc>
                <w:tcPr>
                  <w:tcW w:w="1124" w:type="pct"/>
                  <w:vAlign w:val="center"/>
                </w:tcPr>
                <w:p w14:paraId="3769421F" w14:textId="7CAF08C0" w:rsidR="00B7281B" w:rsidRPr="00B34F40" w:rsidRDefault="00252B99" w:rsidP="00D574CF">
                  <w:pPr>
                    <w:jc w:val="center"/>
                  </w:pPr>
                  <w:r w:rsidRPr="00B34F40">
                    <w:t>20%</w:t>
                  </w:r>
                </w:p>
              </w:tc>
            </w:tr>
            <w:tr w:rsidR="007922C8" w:rsidRPr="00B34F40" w14:paraId="798EE3A2" w14:textId="77777777" w:rsidTr="00D574CF">
              <w:tc>
                <w:tcPr>
                  <w:tcW w:w="1235" w:type="pct"/>
                  <w:vAlign w:val="center"/>
                </w:tcPr>
                <w:p w14:paraId="280C544F" w14:textId="77777777" w:rsidR="00B7281B" w:rsidRPr="00B34F40" w:rsidRDefault="00B7281B" w:rsidP="00D574CF">
                  <w:pPr>
                    <w:jc w:val="left"/>
                  </w:pPr>
                </w:p>
              </w:tc>
              <w:tc>
                <w:tcPr>
                  <w:tcW w:w="1517" w:type="pct"/>
                  <w:vAlign w:val="center"/>
                </w:tcPr>
                <w:p w14:paraId="7C0B10B8" w14:textId="4D6EE026" w:rsidR="00B7281B" w:rsidRPr="00B34F40" w:rsidRDefault="00252B99" w:rsidP="00D574CF">
                  <w:pPr>
                    <w:jc w:val="left"/>
                  </w:pPr>
                  <w:r w:rsidRPr="00B34F40">
                    <w:t>Kleine onderneming</w:t>
                  </w:r>
                </w:p>
              </w:tc>
              <w:tc>
                <w:tcPr>
                  <w:tcW w:w="1124" w:type="pct"/>
                  <w:vAlign w:val="center"/>
                </w:tcPr>
                <w:p w14:paraId="4F8D619F" w14:textId="7E9039AA" w:rsidR="00B7281B" w:rsidRPr="00B34F40" w:rsidRDefault="00D2724D" w:rsidP="00D574CF">
                  <w:pPr>
                    <w:jc w:val="center"/>
                  </w:pPr>
                  <w:r w:rsidRPr="00B34F40">
                    <w:t>10%</w:t>
                  </w:r>
                </w:p>
              </w:tc>
              <w:tc>
                <w:tcPr>
                  <w:tcW w:w="1124" w:type="pct"/>
                  <w:vAlign w:val="center"/>
                </w:tcPr>
                <w:p w14:paraId="3408CE8D" w14:textId="5A83AD50" w:rsidR="00B7281B" w:rsidRPr="00B34F40" w:rsidRDefault="00252B99" w:rsidP="00D574CF">
                  <w:pPr>
                    <w:jc w:val="center"/>
                  </w:pPr>
                  <w:r w:rsidRPr="00B34F40">
                    <w:t>20%</w:t>
                  </w:r>
                </w:p>
              </w:tc>
            </w:tr>
            <w:tr w:rsidR="007922C8" w:rsidRPr="00B34F40" w14:paraId="43CC19C3" w14:textId="77777777" w:rsidTr="00D574CF">
              <w:tc>
                <w:tcPr>
                  <w:tcW w:w="1235" w:type="pct"/>
                  <w:vAlign w:val="center"/>
                </w:tcPr>
                <w:p w14:paraId="39EA4C71" w14:textId="77777777" w:rsidR="00252B99" w:rsidRPr="00B34F40" w:rsidRDefault="00252B99" w:rsidP="00D574CF">
                  <w:pPr>
                    <w:jc w:val="left"/>
                  </w:pPr>
                </w:p>
              </w:tc>
              <w:tc>
                <w:tcPr>
                  <w:tcW w:w="1517" w:type="pct"/>
                  <w:vAlign w:val="center"/>
                </w:tcPr>
                <w:p w14:paraId="6C834F02" w14:textId="21E8ECA6" w:rsidR="00252B99" w:rsidRPr="00B34F40" w:rsidRDefault="00252B99" w:rsidP="00D574CF">
                  <w:pPr>
                    <w:jc w:val="left"/>
                  </w:pPr>
                  <w:r w:rsidRPr="00B34F40">
                    <w:t>Middelgrote onderneming</w:t>
                  </w:r>
                </w:p>
              </w:tc>
              <w:tc>
                <w:tcPr>
                  <w:tcW w:w="1124" w:type="pct"/>
                  <w:vAlign w:val="center"/>
                </w:tcPr>
                <w:p w14:paraId="047AF644" w14:textId="258A2196" w:rsidR="00252B99" w:rsidRPr="00B34F40" w:rsidRDefault="00D2724D" w:rsidP="00D574CF">
                  <w:pPr>
                    <w:jc w:val="center"/>
                  </w:pPr>
                  <w:r w:rsidRPr="00B34F40">
                    <w:t>5%</w:t>
                  </w:r>
                </w:p>
              </w:tc>
              <w:tc>
                <w:tcPr>
                  <w:tcW w:w="1124" w:type="pct"/>
                  <w:vAlign w:val="center"/>
                </w:tcPr>
                <w:p w14:paraId="7C464FF6" w14:textId="26061FEA" w:rsidR="00252B99" w:rsidRPr="00B34F40" w:rsidRDefault="00252B99" w:rsidP="00D574CF">
                  <w:pPr>
                    <w:jc w:val="center"/>
                  </w:pPr>
                  <w:r w:rsidRPr="00B34F40">
                    <w:t>20%</w:t>
                  </w:r>
                </w:p>
              </w:tc>
            </w:tr>
            <w:tr w:rsidR="007922C8" w:rsidRPr="00B34F40" w14:paraId="376D4455" w14:textId="77777777" w:rsidTr="00D574CF">
              <w:tc>
                <w:tcPr>
                  <w:tcW w:w="1235" w:type="pct"/>
                  <w:vAlign w:val="center"/>
                </w:tcPr>
                <w:p w14:paraId="0C1B1A31" w14:textId="77777777" w:rsidR="00252B99" w:rsidRPr="00B34F40" w:rsidRDefault="00252B99" w:rsidP="00D574CF">
                  <w:pPr>
                    <w:jc w:val="left"/>
                  </w:pPr>
                </w:p>
              </w:tc>
              <w:tc>
                <w:tcPr>
                  <w:tcW w:w="1517" w:type="pct"/>
                  <w:vAlign w:val="center"/>
                </w:tcPr>
                <w:p w14:paraId="06C88632" w14:textId="6ED47648" w:rsidR="00252B99" w:rsidRPr="00B34F40" w:rsidRDefault="00252B99" w:rsidP="00D574CF">
                  <w:pPr>
                    <w:jc w:val="left"/>
                  </w:pPr>
                  <w:r w:rsidRPr="00B34F40">
                    <w:t>Grote onderneming</w:t>
                  </w:r>
                </w:p>
              </w:tc>
              <w:tc>
                <w:tcPr>
                  <w:tcW w:w="1124" w:type="pct"/>
                  <w:vAlign w:val="center"/>
                </w:tcPr>
                <w:p w14:paraId="55D0EF13" w14:textId="7418DF2F" w:rsidR="00252B99" w:rsidRPr="00B34F40" w:rsidRDefault="00252B99" w:rsidP="00D574CF">
                  <w:pPr>
                    <w:jc w:val="center"/>
                  </w:pPr>
                  <w:r w:rsidRPr="00B34F40">
                    <w:t>/</w:t>
                  </w:r>
                </w:p>
              </w:tc>
              <w:tc>
                <w:tcPr>
                  <w:tcW w:w="1124" w:type="pct"/>
                  <w:vAlign w:val="center"/>
                </w:tcPr>
                <w:p w14:paraId="4B708D9C" w14:textId="31FFAFC0" w:rsidR="00252B99" w:rsidRPr="00B34F40" w:rsidRDefault="00252B99" w:rsidP="00D574CF">
                  <w:pPr>
                    <w:jc w:val="center"/>
                  </w:pPr>
                  <w:r w:rsidRPr="00B34F40">
                    <w:t>20%</w:t>
                  </w:r>
                </w:p>
              </w:tc>
            </w:tr>
          </w:tbl>
          <w:p w14:paraId="4D987081" w14:textId="7FB70F08" w:rsidR="00484361" w:rsidRPr="00B34F40" w:rsidRDefault="00EF44AC" w:rsidP="00C65586">
            <w:r w:rsidRPr="00B34F40">
              <w:t>Enkele v</w:t>
            </w:r>
            <w:r w:rsidR="00484361" w:rsidRPr="00B34F40">
              <w:t>erduidelijkingen</w:t>
            </w:r>
            <w:r w:rsidRPr="00B34F40">
              <w:t>:</w:t>
            </w:r>
          </w:p>
          <w:p w14:paraId="5AB1767D" w14:textId="53E447D3" w:rsidR="00EF44AC" w:rsidRPr="00B34F40" w:rsidRDefault="00684711" w:rsidP="00EF44AC">
            <w:pPr>
              <w:pStyle w:val="Bullet1"/>
              <w:rPr>
                <w:lang w:val="nl-BE"/>
              </w:rPr>
            </w:pPr>
            <w:r w:rsidRPr="00B34F40">
              <w:rPr>
                <w:lang w:val="nl-BE"/>
              </w:rPr>
              <w:t>de aanbesteder kan dus, ingevolge een bepaling in de opdrachtdocumenten, een hoger percentage voorzien dan het minimale</w:t>
            </w:r>
            <w:r w:rsidR="00240B90" w:rsidRPr="00B34F40">
              <w:rPr>
                <w:lang w:val="nl-BE"/>
              </w:rPr>
              <w:t xml:space="preserve"> (maar niet hoger dan het maximale)</w:t>
            </w:r>
            <w:r w:rsidR="009011EC" w:rsidRPr="00B34F40">
              <w:rPr>
                <w:lang w:val="nl-BE"/>
              </w:rPr>
              <w:t>;</w:t>
            </w:r>
          </w:p>
          <w:p w14:paraId="5B130E44" w14:textId="07B9C6DB" w:rsidR="00093F16" w:rsidRPr="00B34F40" w:rsidRDefault="00E40026" w:rsidP="00EF44AC">
            <w:pPr>
              <w:pStyle w:val="Bullet1"/>
              <w:rPr>
                <w:lang w:val="nl-BE"/>
              </w:rPr>
            </w:pPr>
            <w:r w:rsidRPr="00B34F40">
              <w:rPr>
                <w:lang w:val="nl-BE"/>
              </w:rPr>
              <w:t>het spreekt voor zich dat de aanbesteder geen hoger percentage mag toekennen aan  middelgrote ondernemingen dan aan kleine ondernemingen, enzovoort</w:t>
            </w:r>
            <w:r w:rsidR="009011EC" w:rsidRPr="00B34F40">
              <w:rPr>
                <w:lang w:val="nl-BE"/>
              </w:rPr>
              <w:t>;</w:t>
            </w:r>
          </w:p>
          <w:p w14:paraId="2A32F60F" w14:textId="0139227F" w:rsidR="009011EC" w:rsidRPr="00B34F40" w:rsidRDefault="00987704" w:rsidP="00EF44AC">
            <w:pPr>
              <w:pStyle w:val="Bullet1"/>
              <w:rPr>
                <w:lang w:val="nl-BE"/>
              </w:rPr>
            </w:pPr>
            <w:r w:rsidRPr="00B34F40">
              <w:rPr>
                <w:lang w:val="nl-BE"/>
              </w:rPr>
              <w:t>er moet geen voorschot toegekend worden wanneer de opdrachtnemer een grote onderneming blijkt te zijn</w:t>
            </w:r>
            <w:r w:rsidR="00B64F3B" w:rsidRPr="00B34F40">
              <w:rPr>
                <w:lang w:val="nl-BE"/>
              </w:rPr>
              <w:t xml:space="preserve">, maar – opnieuw – kunnen </w:t>
            </w:r>
            <w:r w:rsidRPr="00B34F40">
              <w:rPr>
                <w:lang w:val="nl-BE"/>
              </w:rPr>
              <w:t xml:space="preserve"> aanbesteders </w:t>
            </w:r>
            <w:r w:rsidR="00BA2447" w:rsidRPr="00B34F40">
              <w:rPr>
                <w:lang w:val="nl-BE"/>
              </w:rPr>
              <w:t>via</w:t>
            </w:r>
            <w:r w:rsidRPr="00B34F40">
              <w:rPr>
                <w:lang w:val="nl-BE"/>
              </w:rPr>
              <w:t xml:space="preserve"> een afwijking in de opdrachtdocumenten</w:t>
            </w:r>
            <w:r w:rsidR="00BA2447" w:rsidRPr="00B34F40">
              <w:rPr>
                <w:lang w:val="nl-BE"/>
              </w:rPr>
              <w:t xml:space="preserve"> </w:t>
            </w:r>
            <w:r w:rsidR="003C2676" w:rsidRPr="00B34F40">
              <w:rPr>
                <w:lang w:val="nl-BE"/>
              </w:rPr>
              <w:t xml:space="preserve">in </w:t>
            </w:r>
            <w:r w:rsidRPr="00B34F40">
              <w:rPr>
                <w:lang w:val="nl-BE"/>
              </w:rPr>
              <w:t>een voorschot voorzien voor grote ondernemingen</w:t>
            </w:r>
            <w:r w:rsidR="0066037B" w:rsidRPr="00B34F40">
              <w:rPr>
                <w:lang w:val="nl-BE"/>
              </w:rPr>
              <w:t>;</w:t>
            </w:r>
          </w:p>
          <w:p w14:paraId="6392F8C4" w14:textId="77029826" w:rsidR="0066037B" w:rsidRPr="00B34F40" w:rsidRDefault="0066037B" w:rsidP="00EF44AC">
            <w:pPr>
              <w:pStyle w:val="Bullet1"/>
              <w:rPr>
                <w:lang w:val="nl-BE"/>
              </w:rPr>
            </w:pPr>
            <w:r w:rsidRPr="00B34F40">
              <w:rPr>
                <w:lang w:val="nl-BE"/>
              </w:rPr>
              <w:t>ook voor de OPZB/OPZ</w:t>
            </w:r>
            <w:r w:rsidR="00DE7F50" w:rsidRPr="00B34F40">
              <w:rPr>
                <w:lang w:val="nl-BE"/>
              </w:rPr>
              <w:t>V</w:t>
            </w:r>
            <w:r w:rsidRPr="00B34F40">
              <w:rPr>
                <w:lang w:val="nl-BE"/>
              </w:rPr>
              <w:t xml:space="preserve">OM kan de aanbesteder </w:t>
            </w:r>
            <w:r w:rsidR="00240B90" w:rsidRPr="00B34F40">
              <w:rPr>
                <w:lang w:val="nl-BE"/>
              </w:rPr>
              <w:t>boven het minimale percentage gaan</w:t>
            </w:r>
            <w:r w:rsidR="00450B20" w:rsidRPr="00B34F40">
              <w:rPr>
                <w:lang w:val="nl-BE"/>
              </w:rPr>
              <w:t>.</w:t>
            </w:r>
          </w:p>
          <w:p w14:paraId="28F3E674" w14:textId="3EB9F07C" w:rsidR="00AB5418" w:rsidRPr="00B34F40" w:rsidRDefault="003754D2" w:rsidP="003754D2">
            <w:r w:rsidRPr="00B34F40">
              <w:t>Ook aanbesteders die niet onderworpen zijn aan het verplicht</w:t>
            </w:r>
            <w:r w:rsidR="00DE56DA" w:rsidRPr="00B34F40">
              <w:t>e</w:t>
            </w:r>
            <w:r w:rsidRPr="00B34F40">
              <w:t xml:space="preserve"> voorschot, zullen een voorschot kunnen toekennen. Wanneer zij hieromtrent niets voorzien in de opdrachtdocumenten, zal echter geen voorschot van toepassing zijn. </w:t>
            </w:r>
            <w:r w:rsidR="00DC5AE2" w:rsidRPr="00B34F40">
              <w:t xml:space="preserve">Wat de maximale percentages betreft moeten ook zij de </w:t>
            </w:r>
            <w:r w:rsidR="00DE246D" w:rsidRPr="00B34F40">
              <w:t xml:space="preserve">relevante </w:t>
            </w:r>
            <w:r w:rsidR="00DC5AE2" w:rsidRPr="00B34F40">
              <w:t xml:space="preserve">regelgeving volgen. </w:t>
            </w:r>
          </w:p>
          <w:p w14:paraId="51D1AF02" w14:textId="54E3F7A3" w:rsidR="00684219" w:rsidRPr="00B34F40" w:rsidRDefault="00684219" w:rsidP="00684219">
            <w:r w:rsidRPr="00B34F40">
              <w:t xml:space="preserve">De aanbesteder beschikt telkens over de mogelijkheid om bij opdrachten waarvoor een toelating vereist is </w:t>
            </w:r>
            <w:r w:rsidR="00DE56DA" w:rsidRPr="00B34F40">
              <w:t>en</w:t>
            </w:r>
            <w:r w:rsidRPr="00B34F40">
              <w:t xml:space="preserve"> waarbij een voorschot wordt toegekend, de betaling van het voorschot afhankelijk te maken van het verkrijgen van deze toelating. </w:t>
            </w:r>
            <w:r w:rsidR="003407C8" w:rsidRPr="00B34F40">
              <w:t>Zo kan</w:t>
            </w:r>
            <w:r w:rsidRPr="00B34F40">
              <w:t xml:space="preserve"> aanbesteder voorzien, in het geval waarbij de uitvoering van de opdracht afhankelijk is van het verkrijgen van een bouwvergunning, dat het voorschot pas wordt betaald nadat deze vergunning is verkregen.</w:t>
            </w:r>
          </w:p>
          <w:p w14:paraId="41B7E18A" w14:textId="09D2D723" w:rsidR="00235D09" w:rsidRPr="00B34F40" w:rsidRDefault="00684219" w:rsidP="00684219">
            <w:r w:rsidRPr="00B34F40">
              <w:t xml:space="preserve">De lijst van toegestane voorschotten die op heden is opgenomen in artikel 67 van het </w:t>
            </w:r>
            <w:r w:rsidR="005549BE" w:rsidRPr="00B34F40">
              <w:t>KB AUR</w:t>
            </w:r>
            <w:r w:rsidRPr="00B34F40">
              <w:t xml:space="preserve"> van 14 januari 2013, </w:t>
            </w:r>
            <w:r w:rsidR="005549BE" w:rsidRPr="00B34F40">
              <w:t>wordt</w:t>
            </w:r>
            <w:r w:rsidRPr="00B34F40">
              <w:t xml:space="preserve"> overgenomen. Het betreft gevallen waarbij op heden reeds hogere voorschotten kunnen </w:t>
            </w:r>
            <w:r w:rsidR="00570BEF" w:rsidRPr="00B34F40">
              <w:t xml:space="preserve">worden </w:t>
            </w:r>
            <w:r w:rsidRPr="00B34F40">
              <w:t>toegekend dan twintig procent. Deze gevallen blijven behouden en worden overgenomen zonder wijzigingen.</w:t>
            </w:r>
          </w:p>
          <w:p w14:paraId="059BF2FA" w14:textId="36EFFEE6" w:rsidR="00484361" w:rsidRPr="00B34F40" w:rsidRDefault="00384B12" w:rsidP="00684219">
            <w:r w:rsidRPr="00B34F40">
              <w:t>De nieuwe wetgeving stelt dat d</w:t>
            </w:r>
            <w:r w:rsidR="00F357DD" w:rsidRPr="00B34F40">
              <w:t xml:space="preserve">e terugbetaling van het voorschot wordt verrekend met de bedragen die verschuldigd zijn aan de opdrachtnemer, volgens het ritme en de modaliteiten als voorzien in de opdrachtdocumenten. In afwezigheid van een bepaling in de opdrachtdocumenten, </w:t>
            </w:r>
            <w:r w:rsidR="00FA43FB" w:rsidRPr="00B34F40">
              <w:t>schuift de wetgeving een standaardregeling naar voren</w:t>
            </w:r>
            <w:r w:rsidR="00F357DD" w:rsidRPr="00B34F40">
              <w:t>.</w:t>
            </w:r>
            <w:r w:rsidR="00FA43FB" w:rsidRPr="00B34F40">
              <w:t xml:space="preserve"> Merken we op dat een strenge verrekening van het voorschot</w:t>
            </w:r>
            <w:r w:rsidR="004048B1" w:rsidRPr="00B34F40">
              <w:t>, bijvoorbeeld het voorschot volledig verrekenen bij een</w:t>
            </w:r>
            <w:r w:rsidR="00191264" w:rsidRPr="00B34F40">
              <w:t xml:space="preserve"> (de)</w:t>
            </w:r>
            <w:r w:rsidR="004048B1" w:rsidRPr="00B34F40">
              <w:t xml:space="preserve"> eerste, tussentijdse, niet-substantieel qua waarde</w:t>
            </w:r>
            <w:r w:rsidR="00F72ADD" w:rsidRPr="00B34F40">
              <w:t xml:space="preserve"> factu</w:t>
            </w:r>
            <w:r w:rsidR="00191264" w:rsidRPr="00B34F40">
              <w:t>(</w:t>
            </w:r>
            <w:r w:rsidR="00F72ADD" w:rsidRPr="00B34F40">
              <w:t>u</w:t>
            </w:r>
            <w:r w:rsidR="00191264" w:rsidRPr="00B34F40">
              <w:t>)</w:t>
            </w:r>
            <w:r w:rsidR="00F72ADD" w:rsidRPr="00B34F40">
              <w:t>r</w:t>
            </w:r>
            <w:r w:rsidR="00191264" w:rsidRPr="00B34F40">
              <w:t>(en)</w:t>
            </w:r>
            <w:r w:rsidR="00F72ADD" w:rsidRPr="00B34F40">
              <w:t xml:space="preserve">, de doelstelling van het toekennen van een voorschot volledig onderuit haalt en dus als een bad practice beschouwd wordt. </w:t>
            </w:r>
            <w:r w:rsidR="00B31CFD" w:rsidRPr="00B34F40">
              <w:t>Iets verder</w:t>
            </w:r>
            <w:r w:rsidR="00C921B6" w:rsidRPr="00B34F40">
              <w:t>op</w:t>
            </w:r>
            <w:r w:rsidR="00B31CFD" w:rsidRPr="00B34F40">
              <w:t xml:space="preserve"> wordt daarom </w:t>
            </w:r>
            <w:r w:rsidR="00C921B6" w:rsidRPr="00B34F40">
              <w:t xml:space="preserve">ter ondersteuning </w:t>
            </w:r>
            <w:r w:rsidR="00B31CFD" w:rsidRPr="00B34F40">
              <w:t>in een praktische richtlijn voorzien</w:t>
            </w:r>
            <w:r w:rsidR="00C921B6" w:rsidRPr="00B34F40">
              <w:t xml:space="preserve">. </w:t>
            </w:r>
          </w:p>
          <w:p w14:paraId="4C110C00" w14:textId="77777777" w:rsidR="00484361" w:rsidRPr="00B34F40" w:rsidRDefault="00BD3281" w:rsidP="00484361">
            <w:r w:rsidRPr="00B34F40">
              <w:t>Tot slot zullen ondernemers voor de uitbetaling van het voorschot nog steeds een aanvraag moeten indienen, maar hoeven</w:t>
            </w:r>
            <w:r w:rsidR="00FC764E" w:rsidRPr="00B34F40">
              <w:t xml:space="preserve"> zij</w:t>
            </w:r>
            <w:r w:rsidRPr="00B34F40">
              <w:t xml:space="preserve"> deze aanvraag niet langer te ondertekenen.</w:t>
            </w:r>
          </w:p>
          <w:p w14:paraId="3F584923" w14:textId="77777777" w:rsidR="00A21C98" w:rsidRPr="00B34F40" w:rsidRDefault="00A21C98" w:rsidP="00484361">
            <w:r w:rsidRPr="00B34F40">
              <w:rPr>
                <w:b/>
                <w:bCs/>
              </w:rPr>
              <w:t>Het charter vraagt volgende zaken aan de federale aanbesteders:</w:t>
            </w:r>
          </w:p>
          <w:p w14:paraId="375326A6" w14:textId="1B8F0A0E" w:rsidR="00655601" w:rsidRPr="00B34F40" w:rsidRDefault="00824648">
            <w:pPr>
              <w:pStyle w:val="Lijstnummering"/>
              <w:numPr>
                <w:ilvl w:val="0"/>
                <w:numId w:val="39"/>
              </w:numPr>
            </w:pPr>
            <w:r w:rsidRPr="00B34F40">
              <w:t>voor overheidsopdrachten die niet vallen onder het toepassingsgebied van de verplichte voorschotten</w:t>
            </w:r>
            <w:r w:rsidR="00120E27" w:rsidRPr="00B34F40">
              <w:t>, noch</w:t>
            </w:r>
            <w:r w:rsidRPr="00B34F40">
              <w:t xml:space="preserve"> onder de uitzonderingen die handelen over het verschuiven van </w:t>
            </w:r>
            <w:r w:rsidR="00384C50" w:rsidRPr="00B34F40">
              <w:t xml:space="preserve">het </w:t>
            </w:r>
            <w:r w:rsidR="00384C50" w:rsidRPr="00B34F40">
              <w:lastRenderedPageBreak/>
              <w:t xml:space="preserve">financieringsmoment of een te korte uitvoeringstermijn, om </w:t>
            </w:r>
            <w:r w:rsidR="00E01182" w:rsidRPr="00B34F40">
              <w:t xml:space="preserve">toch </w:t>
            </w:r>
            <w:r w:rsidR="00384C50" w:rsidRPr="00B34F40">
              <w:t xml:space="preserve">waar mogelijk voorschotten toe te kennen </w:t>
            </w:r>
            <w:r w:rsidR="00BB1EB2" w:rsidRPr="00B34F40">
              <w:t>– zeker voor micro- en kleine ondernemingen –</w:t>
            </w:r>
            <w:r w:rsidR="00CE40F6" w:rsidRPr="00B34F40">
              <w:t xml:space="preserve"> </w:t>
            </w:r>
            <w:r w:rsidR="00BB1EB2" w:rsidRPr="00B34F40">
              <w:t>weliswaar met inachtneming van de wettelijk opgelegde maxima;</w:t>
            </w:r>
          </w:p>
          <w:p w14:paraId="1408A193" w14:textId="77777777" w:rsidR="00BB1EB2" w:rsidRPr="00B34F40" w:rsidRDefault="00244BFE">
            <w:pPr>
              <w:pStyle w:val="Lijstnummering"/>
            </w:pPr>
            <w:r w:rsidRPr="00B34F40">
              <w:t xml:space="preserve">in de mate van het mogelijke voor kleine ondernemingen het maximale </w:t>
            </w:r>
            <w:r w:rsidR="00795CF1" w:rsidRPr="00B34F40">
              <w:t>voorschot te voorzien;</w:t>
            </w:r>
          </w:p>
          <w:p w14:paraId="0025CE20" w14:textId="36E83CDD" w:rsidR="00795CF1" w:rsidRPr="00B34F40" w:rsidRDefault="00795CF1">
            <w:pPr>
              <w:pStyle w:val="Lijstnummering"/>
            </w:pPr>
            <w:r w:rsidRPr="00B34F40">
              <w:t xml:space="preserve">inzake de verrekening van het voorschot ofwel de standaardregeling </w:t>
            </w:r>
            <w:r w:rsidR="00FE3216" w:rsidRPr="00B34F40">
              <w:t xml:space="preserve">te </w:t>
            </w:r>
            <w:r w:rsidRPr="00B34F40">
              <w:t xml:space="preserve">voorzien door de wetgeving </w:t>
            </w:r>
            <w:r w:rsidR="000C72BE" w:rsidRPr="00B34F40">
              <w:t xml:space="preserve">te volgen of die over te nemen in de opdrachtdocumenten, ofwel bij het uitwerken van een eigen regeling het voorschot zeker niet </w:t>
            </w:r>
            <w:r w:rsidR="006860F3" w:rsidRPr="00B34F40">
              <w:t xml:space="preserve">volledig </w:t>
            </w:r>
            <w:r w:rsidR="000C72BE" w:rsidRPr="00B34F40">
              <w:t>te verrekenen met de eerste factu</w:t>
            </w:r>
            <w:r w:rsidR="00FA06D2" w:rsidRPr="00B34F40">
              <w:t>(</w:t>
            </w:r>
            <w:r w:rsidR="000C72BE" w:rsidRPr="00B34F40">
              <w:t>u</w:t>
            </w:r>
            <w:r w:rsidR="00FA06D2" w:rsidRPr="00B34F40">
              <w:t>)</w:t>
            </w:r>
            <w:r w:rsidR="000C72BE" w:rsidRPr="00B34F40">
              <w:t>r</w:t>
            </w:r>
            <w:r w:rsidR="00FA06D2" w:rsidRPr="00B34F40">
              <w:t>(en)</w:t>
            </w:r>
            <w:r w:rsidR="000C72BE" w:rsidRPr="00B34F40">
              <w:t xml:space="preserve">. </w:t>
            </w:r>
            <w:r w:rsidR="00CE482C" w:rsidRPr="00B34F40">
              <w:t xml:space="preserve">Indien een aanbesteder via een eigen regeling toch onmiddellijk het volledige voorschot wenst te verrekenen: enkel wanneer </w:t>
            </w:r>
            <w:r w:rsidR="000C72BE" w:rsidRPr="00B34F40">
              <w:t>die eerste factu</w:t>
            </w:r>
            <w:r w:rsidR="00FA06D2" w:rsidRPr="00B34F40">
              <w:t>(</w:t>
            </w:r>
            <w:r w:rsidR="000C72BE" w:rsidRPr="00B34F40">
              <w:t>u</w:t>
            </w:r>
            <w:r w:rsidR="00FA06D2" w:rsidRPr="00B34F40">
              <w:t>)</w:t>
            </w:r>
            <w:r w:rsidR="000C72BE" w:rsidRPr="00B34F40">
              <w:t>r</w:t>
            </w:r>
            <w:r w:rsidR="00FA06D2" w:rsidRPr="00B34F40">
              <w:t>(en)</w:t>
            </w:r>
            <w:r w:rsidR="00400DDF" w:rsidRPr="00B34F40">
              <w:t xml:space="preserve"> een substantieel deel van de eindfactuur omvat</w:t>
            </w:r>
            <w:r w:rsidR="00FA06D2" w:rsidRPr="00B34F40">
              <w:t>(ten)</w:t>
            </w:r>
            <w:r w:rsidR="00400DDF" w:rsidRPr="00B34F40">
              <w:t xml:space="preserve">, </w:t>
            </w:r>
            <w:r w:rsidR="006860F3" w:rsidRPr="00B34F40">
              <w:t>veertig procent</w:t>
            </w:r>
            <w:r w:rsidR="00400DDF" w:rsidRPr="00B34F40">
              <w:t xml:space="preserve"> of meer, of de eindfactuur is</w:t>
            </w:r>
            <w:r w:rsidR="00685BA6" w:rsidRPr="00B34F40">
              <w:t>;</w:t>
            </w:r>
          </w:p>
          <w:p w14:paraId="60A57B98" w14:textId="67BF50F4" w:rsidR="005A0049" w:rsidRPr="00B34F40" w:rsidRDefault="00F46D68">
            <w:pPr>
              <w:pStyle w:val="Lijstnummering"/>
            </w:pPr>
            <w:r w:rsidRPr="00B34F40">
              <w:t>i</w:t>
            </w:r>
            <w:r w:rsidR="00E30963" w:rsidRPr="00B34F40">
              <w:t>n de opdrachtdocumenten te verduidelijken hoe de begunstigde onderneming het voorschot moet aanvragen, zowel de procedure als de vormvereisten</w:t>
            </w:r>
            <w:r w:rsidR="004B2B8C" w:rsidRPr="00B34F40">
              <w:t xml:space="preserve">, </w:t>
            </w:r>
            <w:r w:rsidR="00CE40F6" w:rsidRPr="00B34F40">
              <w:t>en een herinnering daaraan te voorzien</w:t>
            </w:r>
            <w:r w:rsidR="002D24A4" w:rsidRPr="00B34F40">
              <w:t xml:space="preserve"> na de gunning</w:t>
            </w:r>
            <w:r w:rsidR="00685BA6" w:rsidRPr="00B34F40">
              <w:t xml:space="preserve">. </w:t>
            </w:r>
          </w:p>
          <w:p w14:paraId="18086760" w14:textId="6A68318A" w:rsidR="00464B2B" w:rsidRPr="00B34F40" w:rsidRDefault="00464B2B" w:rsidP="00935CFB">
            <w:r w:rsidRPr="00B34F40">
              <w:rPr>
                <w:i/>
                <w:iCs/>
              </w:rPr>
              <w:t>Dit deel van het charter wordt door de FOD Economie van een update voorzien van zodra nieuwe informatie beschikbaar is en/of nieuwe wetgeving gepubliceerd werd in het Belgisch Staatsblad.</w:t>
            </w:r>
          </w:p>
        </w:tc>
      </w:tr>
    </w:tbl>
    <w:p w14:paraId="664EDA8E" w14:textId="77777777" w:rsidR="006A1643" w:rsidRPr="00B34F40" w:rsidRDefault="006A1643" w:rsidP="006A1643">
      <w:pPr>
        <w:pStyle w:val="Kop4"/>
        <w:rPr>
          <w:lang w:val="nl-BE"/>
        </w:rPr>
      </w:pPr>
      <w:r w:rsidRPr="00B34F40">
        <w:rPr>
          <w:lang w:val="nl-BE"/>
        </w:rPr>
        <w:lastRenderedPageBreak/>
        <w:t>De biedvergoeding</w:t>
      </w:r>
    </w:p>
    <w:tbl>
      <w:tblPr>
        <w:tblStyle w:val="Tabelraster"/>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6A1643" w:rsidRPr="00CB7F27" w14:paraId="3866CCB8" w14:textId="77777777" w:rsidTr="00C65586">
        <w:tc>
          <w:tcPr>
            <w:tcW w:w="5000" w:type="pct"/>
            <w:shd w:val="clear" w:color="auto" w:fill="FFF2CC" w:themeFill="accent4" w:themeFillTint="33"/>
          </w:tcPr>
          <w:p w14:paraId="7A235452" w14:textId="77777777" w:rsidR="006A1643" w:rsidRPr="00CB7F27" w:rsidRDefault="006A1643" w:rsidP="00C65586">
            <w:pPr>
              <w:rPr>
                <w:b/>
                <w:bCs/>
                <w:i/>
                <w:iCs/>
              </w:rPr>
            </w:pPr>
            <w:r w:rsidRPr="00AF6967">
              <w:rPr>
                <w:b/>
                <w:bCs/>
                <w:i/>
                <w:iCs/>
              </w:rPr>
              <w:t>Toekomstig recht</w:t>
            </w:r>
          </w:p>
        </w:tc>
      </w:tr>
      <w:tr w:rsidR="006A1643" w:rsidRPr="00CA7A8C" w14:paraId="5B0F79DB" w14:textId="77777777" w:rsidTr="00B34F40">
        <w:trPr>
          <w:trHeight w:val="703"/>
        </w:trPr>
        <w:tc>
          <w:tcPr>
            <w:tcW w:w="5000" w:type="pct"/>
            <w:shd w:val="clear" w:color="auto" w:fill="FFF2CC" w:themeFill="accent4" w:themeFillTint="33"/>
          </w:tcPr>
          <w:p w14:paraId="434F8BE6" w14:textId="77777777" w:rsidR="006A1643" w:rsidRDefault="006A1643" w:rsidP="00C65586">
            <w:r>
              <w:t>V</w:t>
            </w:r>
            <w:r w:rsidRPr="00CA7A8C">
              <w:t xml:space="preserve">ia een update van </w:t>
            </w:r>
            <w:r w:rsidRPr="00C10DC9">
              <w:t>de</w:t>
            </w:r>
            <w:r>
              <w:t xml:space="preserve"> wet overheidsopdrachten wordt voorzien</w:t>
            </w:r>
            <w:r w:rsidRPr="00CA7A8C">
              <w:t xml:space="preserve"> in een </w:t>
            </w:r>
            <w:r>
              <w:t>nieuw wetgevend kader over de “biedvergoeding”</w:t>
            </w:r>
            <w:r w:rsidRPr="00CA7A8C">
              <w:t xml:space="preserve">. De publicatie van de nieuwe wetgeving </w:t>
            </w:r>
            <w:r>
              <w:t>staat</w:t>
            </w:r>
            <w:r w:rsidRPr="00CA7A8C">
              <w:t xml:space="preserve"> momenteel </w:t>
            </w:r>
            <w:r>
              <w:t>gepland</w:t>
            </w:r>
            <w:r w:rsidRPr="00CA7A8C">
              <w:t xml:space="preserve"> voor het </w:t>
            </w:r>
            <w:r>
              <w:t>voorjaar</w:t>
            </w:r>
            <w:r w:rsidRPr="00CA7A8C">
              <w:t xml:space="preserve"> van 202</w:t>
            </w:r>
            <w:r>
              <w:t>4</w:t>
            </w:r>
            <w:r w:rsidRPr="00CA7A8C">
              <w:t>.</w:t>
            </w:r>
          </w:p>
          <w:p w14:paraId="50EEB5C5" w14:textId="7D9A308E" w:rsidR="000A3E74" w:rsidRDefault="000E701C" w:rsidP="00C65586">
            <w:r>
              <w:t>Voor</w:t>
            </w:r>
            <w:r w:rsidR="005D4A3A">
              <w:t>afgaand aan</w:t>
            </w:r>
            <w:r>
              <w:t xml:space="preserve"> de update werden b</w:t>
            </w:r>
            <w:r w:rsidRPr="000E701C">
              <w:t>iedvergoedingen alleen</w:t>
            </w:r>
            <w:r>
              <w:t xml:space="preserve"> wettelijk</w:t>
            </w:r>
            <w:r w:rsidRPr="000E701C">
              <w:t xml:space="preserve"> omkaderd voor de concurrentiegerichte dialoog en voor de prijsvraag.</w:t>
            </w:r>
            <w:r w:rsidR="00086AFA">
              <w:t xml:space="preserve"> De nieuwe wetgeving </w:t>
            </w:r>
            <w:r w:rsidR="00363387" w:rsidRPr="00363387">
              <w:t>heeft tot doel om, in een aantal eerder uitzonderlijke gevallen, de aanbesteder te verplichten om een biedvergoeding toe te kennen aan inschrijvers, meer bepaald in de gevallen waarbij, reeds in het kader van de plaatsingsprocedure, monsters, maquettes, prototypes, tekeningen, andere grafische ontwerpen of enig ander ontwerp in de domeinen van de plastische kunsten, de muzikale kunsten, de cinematografische kunsten of de podiumkunsten, moeten ingediend worden samen met de offerte.</w:t>
            </w:r>
          </w:p>
          <w:p w14:paraId="00D7ED0E" w14:textId="77777777" w:rsidR="00F14C4B" w:rsidRDefault="00F14C4B" w:rsidP="00C65586">
            <w:r w:rsidRPr="00F14C4B">
              <w:t xml:space="preserve">In de hierboven vermelde gevallen levert de inschrijver reeds inspanningen op het vlak van ontwerp in het kader van de plaatsingsprocedure. In deze gevallen is het billijk om een biedvergoeding toe te kennen. </w:t>
            </w:r>
          </w:p>
          <w:p w14:paraId="5E499C8E" w14:textId="16A3DF0B" w:rsidR="00F14C4B" w:rsidRDefault="00F14C4B" w:rsidP="00C65586">
            <w:r w:rsidRPr="00F14C4B">
              <w:t xml:space="preserve">Deze verplichting geldt evenwel niet in de gevallen waarbij de aanbesteder gebruik maakt van de openbare procedure of van de vereenvoudigde onderhandelingsprocedure met voorafgaande bekendmaking of oproep tot mededinging. In deze gevallen beschikt de aanbesteder immers niet over een mogelijkheid om het aantal offertes die worden ingediend te beperken, zodat het evenmin duidelijk is aan hoeveel inschrijvers de aanbesteder de biedvergoeding zal moeten betalen, hetgeen het doorvoeren van een zorgvuldige budgettaire inschatting verhindert. </w:t>
            </w:r>
            <w:r w:rsidR="001E4A3B">
              <w:t>In een dergelijk geval</w:t>
            </w:r>
            <w:r w:rsidRPr="00F14C4B">
              <w:t xml:space="preserve"> kan de aanbesteder een biedvergoeding toekennen maar is hij niet verplicht dit te doen.</w:t>
            </w:r>
          </w:p>
          <w:p w14:paraId="112E9B59" w14:textId="4F9FA106" w:rsidR="001E4A3B" w:rsidRDefault="00BB36F2" w:rsidP="00C65586">
            <w:r>
              <w:t>Het is van belang</w:t>
            </w:r>
            <w:r w:rsidRPr="00BB36F2">
              <w:t xml:space="preserve"> dat de aanbesteder vooraf goed nadenkt of het, voor het vlotte verloop van de plaatsingsprocedure, wel nodig is om te vereisen dat monsters</w:t>
            </w:r>
            <w:r w:rsidR="00A71222">
              <w:t xml:space="preserve"> en dergelijke </w:t>
            </w:r>
            <w:r w:rsidRPr="00BB36F2">
              <w:t>ingediend worden. In sommige gevallen worden deze wel opgelegd, maar zijn ze eigenlijk niet onontbeerlijk om de offertes te kunnen beoordelen</w:t>
            </w:r>
            <w:r w:rsidR="000C2097">
              <w:t xml:space="preserve">, hoewel </w:t>
            </w:r>
            <w:r w:rsidR="003133BC">
              <w:t xml:space="preserve">ze inspanningen </w:t>
            </w:r>
            <w:r w:rsidR="00174254">
              <w:t xml:space="preserve">vragen </w:t>
            </w:r>
            <w:r w:rsidR="00D422E3">
              <w:t>van de inschrijver</w:t>
            </w:r>
            <w:r w:rsidRPr="00BB36F2">
              <w:t>.</w:t>
            </w:r>
            <w:r w:rsidR="00DE79CB">
              <w:t xml:space="preserve"> </w:t>
            </w:r>
            <w:r w:rsidRPr="00BB36F2">
              <w:t>Door het toekennen van een biedvergoeding kan daarenboven de mededinging gestimuleerd worden en wordt vermeden dat met name kmo’s in de voormelde gevallen een drempel ondervinden om deel te nemen aan de plaatsingsprocedures.</w:t>
            </w:r>
          </w:p>
          <w:p w14:paraId="50EA3097" w14:textId="77777777" w:rsidR="003F27BC" w:rsidRDefault="0059721B" w:rsidP="00C65586">
            <w:r>
              <w:t xml:space="preserve">De </w:t>
            </w:r>
            <w:r w:rsidR="00537538" w:rsidRPr="00537538">
              <w:t>verplichting om een biedvergoeding toe te kennen</w:t>
            </w:r>
            <w:r>
              <w:t xml:space="preserve">, is </w:t>
            </w:r>
            <w:r w:rsidR="00537538" w:rsidRPr="00537538">
              <w:t xml:space="preserve">voor het overige onderworpen aan slechts een enkele voorwaarde: naast de offerte vereist de aanbesteder dat, in de loop van de plaatsingsprocedure, een monster, een maquette, een prototype, een tekening of een ontwerp in het domein van een van de voormelde kunsten wordt voorgelegd die het mogelijk maakt de </w:t>
            </w:r>
            <w:r w:rsidR="00537538" w:rsidRPr="00537538">
              <w:lastRenderedPageBreak/>
              <w:t xml:space="preserve">offerte te beoordelen. Indien een tekening vereist wordt van technische aard, dan moet ook hiervoor een biedvergoeding voorzien worden. </w:t>
            </w:r>
          </w:p>
          <w:p w14:paraId="768679BE" w14:textId="076BE2D8" w:rsidR="00F90C00" w:rsidRDefault="00537538" w:rsidP="00C65586">
            <w:r w:rsidRPr="00537538">
              <w:t>Het loutere feit dat bijvoorbeeld in de offerte de voorgestelde uitvoeringswijze (het concept) moet beschreven worden (bijvoorbeeld een concept om een ICT-oplossing uit te werken), volstaat dan weer niet opdat een biedvergoeding zou verplicht zijn (voor zover niet tevens een monster, maquette, prototypes, tekening of een ontwerp in het domein van een van de voormelde kunsten moet voorgelegd worden).</w:t>
            </w:r>
          </w:p>
          <w:p w14:paraId="3ABD1660" w14:textId="77777777" w:rsidR="00804A47" w:rsidRDefault="00353BE3" w:rsidP="00C65586">
            <w:r w:rsidRPr="00353BE3">
              <w:t>De aanbesteder doet er goed aan</w:t>
            </w:r>
            <w:r>
              <w:t xml:space="preserve"> om</w:t>
            </w:r>
            <w:r w:rsidRPr="00353BE3">
              <w:t xml:space="preserve"> ervoor te zorgen dat de tegemoetkoming door middel van de biedvergoeding van </w:t>
            </w:r>
            <w:r>
              <w:t xml:space="preserve">die </w:t>
            </w:r>
            <w:r w:rsidRPr="00353BE3">
              <w:t>aard is om inspanning die daarvoor gevergd wordt</w:t>
            </w:r>
            <w:r>
              <w:t>,</w:t>
            </w:r>
            <w:r w:rsidRPr="00353BE3">
              <w:t xml:space="preserve"> en die uiteindelijk ook een financiële investering vergt, te kunnen dempen. Het valt aan te raden om het bedrag van de tegemoetkoming te bepalen in het licht van de complexiteit van het project en de aard van de vereiste inspanning in de plaatsingsprocedure. </w:t>
            </w:r>
          </w:p>
          <w:p w14:paraId="5A68703B" w14:textId="6C77187E" w:rsidR="00846D23" w:rsidRDefault="00846D23" w:rsidP="00C65586">
            <w:r>
              <w:t xml:space="preserve">De aanbesteder doet er eveneens goed aan om rekening te houden met de mogelijkheid dat in het kader van onderhandelingen een inschrijver meermaals een bepaald iets, bijvoorbeeld een maquette, zal moeten opleveren. </w:t>
            </w:r>
          </w:p>
          <w:p w14:paraId="5199415C" w14:textId="54C35CDB" w:rsidR="00B20301" w:rsidRDefault="00353BE3" w:rsidP="00C65586">
            <w:r w:rsidRPr="00353BE3">
              <w:t>De ruime beoordelingsruimte die gelaten wordt aan de aanbesteder om de hoogte van de biedvergoeding te bepalen, stelt hem ook in staat om rekening te houden met zijn eigen concrete budgettaire mogelijkheden en met wat gebruikelijk is in de concrete sector. Indien de toegekende vergoeding echter te laag ligt, zal dit een negatief effect hebben op de mededinging, wat uiteindelijk niet in het belang is van de aanbesteder zelf. Het feit dat een biedvergoeding wordt toegekend mag geen vrijbrief zijn om inspanningen te vergen die niet nodig zijn.</w:t>
            </w:r>
          </w:p>
          <w:p w14:paraId="3DC62542" w14:textId="77777777" w:rsidR="009B301D" w:rsidRDefault="00DB1845" w:rsidP="009B301D">
            <w:r>
              <w:t>D</w:t>
            </w:r>
            <w:r w:rsidRPr="00DB1845">
              <w:t xml:space="preserve">e aanbesteder </w:t>
            </w:r>
            <w:r>
              <w:t xml:space="preserve">kan </w:t>
            </w:r>
            <w:r w:rsidRPr="00DB1845">
              <w:t>een bepaling opnemen in de opdrachtdocumenten waarin bepaald wordt dat geen biedvergoeding wordt toegekend, of slechts een verminderde vergoeding, voor de inschrijvers die een substantieel onregelmatige of onaanvaardbare offerte hebben ingediend. Op die manier kan vermeden worden dat sommige inschrijvers alleen een offerte zouden indienen om de biedvergoeding te bekomen, waardoor de door de aanbesteder te betalen vergoeding te hoog dreigt op te lopen.</w:t>
            </w:r>
          </w:p>
          <w:p w14:paraId="574D1039" w14:textId="0905A25F" w:rsidR="009B301D" w:rsidRDefault="009B301D" w:rsidP="009B301D">
            <w:r>
              <w:t>Het is niet</w:t>
            </w:r>
            <w:r w:rsidRPr="009B301D">
              <w:t xml:space="preserve"> toegestaan om de biedvergoeding afhankelijk te maken van de gunning van de opdracht. Ook in gevallen waarbij de aanbesteder, overeenkomstig artikel 85 van de wet van 17 juni 2016, beslist om van gunning af te zien, is het billijk om inschrijvers in de een biedvergoeding toe te kennen wanneer voldaan is aan de voormelde dubbele voorwaarde.</w:t>
            </w:r>
          </w:p>
          <w:p w14:paraId="2EF5941D" w14:textId="2C0C1790" w:rsidR="007E6F7A" w:rsidRDefault="00AA4C20" w:rsidP="009B301D">
            <w:r>
              <w:t xml:space="preserve">Biedvergoedingen zijn ook van toepassing voor opdrachten van beperkte waarde. </w:t>
            </w:r>
          </w:p>
          <w:p w14:paraId="3455BD07" w14:textId="19470B41" w:rsidR="00AA4C20" w:rsidRDefault="00AA4C20" w:rsidP="009B301D">
            <w:r>
              <w:t xml:space="preserve">Tot slot, </w:t>
            </w:r>
            <w:r w:rsidR="00477947">
              <w:t>de nieuwe</w:t>
            </w:r>
            <w:r w:rsidR="00477947" w:rsidRPr="00477947">
              <w:t xml:space="preserve"> verplichting tot toekenning van een biedvergoeding laat de reeds bestaande mogelijkheden om biedvergoedingen of prijzengeld toe te kennen in het kader van een concurrentiegerichte dialoog of in het kader van een prijsvraag onverlet. Wat de concurrentiegerichte dialoog betreft bepalen de artikelen 39, § 8, 121, § 8, van de wet van 17 juni 2016 inzake overheidsopdrachten immers reeds dat de aanbesteder kan voorzien in de toekenning van prijzengeld of vergoedingen aan de deelnemers aan de dialoog, zonder dat deze mogelijkheid gekoppeld wordt aan het indienen van een monster, een maquette, een prototype, een tekening of een ontwerp in het domein van een van de voormelde kunsten. De situatie is gelijkaardig wat de prijsvraag betreft</w:t>
            </w:r>
            <w:r w:rsidR="00477947">
              <w:t>:</w:t>
            </w:r>
            <w:r w:rsidR="00477947" w:rsidRPr="00477947">
              <w:t xml:space="preserve"> artikel 119, § 3, van het </w:t>
            </w:r>
            <w:r w:rsidR="00477947">
              <w:t>KB Plaatsing</w:t>
            </w:r>
            <w:r w:rsidR="00477947" w:rsidRPr="00477947">
              <w:t xml:space="preserve"> voorziet in de mogelijkheid tot toekenning van vergoeding aan de deelnemers.</w:t>
            </w:r>
          </w:p>
          <w:p w14:paraId="6D746257" w14:textId="612EF4A2" w:rsidR="005568DA" w:rsidRDefault="005568DA" w:rsidP="009B301D">
            <w:r w:rsidRPr="00D42EEB">
              <w:rPr>
                <w:b/>
                <w:bCs/>
              </w:rPr>
              <w:t>Het charter vraagt v</w:t>
            </w:r>
            <w:r w:rsidR="00540320" w:rsidRPr="00D42EEB">
              <w:rPr>
                <w:b/>
                <w:bCs/>
              </w:rPr>
              <w:t>olgende zaken van de aanbesteders</w:t>
            </w:r>
            <w:r w:rsidR="00540320">
              <w:t>:</w:t>
            </w:r>
          </w:p>
          <w:p w14:paraId="55568248" w14:textId="20084C8F" w:rsidR="00540320" w:rsidRDefault="007922C8">
            <w:pPr>
              <w:pStyle w:val="Lijstnummering"/>
              <w:numPr>
                <w:ilvl w:val="0"/>
                <w:numId w:val="41"/>
              </w:numPr>
            </w:pPr>
            <w:r>
              <w:t>v</w:t>
            </w:r>
            <w:r w:rsidR="009F0592">
              <w:t>oorzie een biedvergoeding waar nodig</w:t>
            </w:r>
            <w:r w:rsidR="00B2010A">
              <w:t>: in het licht daarvan is het belangrijker dan ooit om goed na te denken over w</w:t>
            </w:r>
            <w:r w:rsidR="00E255F9">
              <w:t>at er gevraagd wordt</w:t>
            </w:r>
            <w:r w:rsidR="001A4364">
              <w:t xml:space="preserve"> van de inschrijver</w:t>
            </w:r>
            <w:r w:rsidR="001E6A74">
              <w:t xml:space="preserve"> in welke fase van de </w:t>
            </w:r>
            <w:r w:rsidR="009C7A37">
              <w:t>(</w:t>
            </w:r>
            <w:r w:rsidR="001E6A74">
              <w:t>plaatsings</w:t>
            </w:r>
            <w:r w:rsidR="009C7A37">
              <w:t>)</w:t>
            </w:r>
            <w:r w:rsidR="001E6A74">
              <w:t>procedure</w:t>
            </w:r>
            <w:r w:rsidR="00B9704E">
              <w:t xml:space="preserve"> en over</w:t>
            </w:r>
            <w:r w:rsidR="009F5012">
              <w:t xml:space="preserve"> de te gebruiken plaatsingsprocedure</w:t>
            </w:r>
            <w:r w:rsidR="00794B91">
              <w:t xml:space="preserve">. </w:t>
            </w:r>
            <w:r w:rsidR="000A23A8">
              <w:t xml:space="preserve">Hierbij wordt opnieuw doorverwezen naar </w:t>
            </w:r>
            <w:r w:rsidR="00130B37">
              <w:t xml:space="preserve">de richtlijnen en instructies voor </w:t>
            </w:r>
            <w:r w:rsidR="000A23A8">
              <w:t>principe 3 over</w:t>
            </w:r>
            <w:r w:rsidR="00C57698">
              <w:t xml:space="preserve"> </w:t>
            </w:r>
            <w:r w:rsidR="00E24E1E">
              <w:t xml:space="preserve">twee- of meerfasige procedures en procedures met onderhandelingen. </w:t>
            </w:r>
          </w:p>
          <w:p w14:paraId="05497F2B" w14:textId="0A51BFFA" w:rsidR="00E71B44" w:rsidRDefault="007922C8">
            <w:pPr>
              <w:pStyle w:val="Lijstnummering"/>
            </w:pPr>
            <w:r>
              <w:t>f</w:t>
            </w:r>
            <w:r w:rsidR="0036202E">
              <w:t xml:space="preserve">ocus, bij het bepalen van de hoogte van de biedvergoeding op </w:t>
            </w:r>
            <w:r w:rsidR="008E2083" w:rsidRPr="008E2083">
              <w:t>de complexiteit van het project</w:t>
            </w:r>
            <w:r w:rsidR="00F36367">
              <w:t xml:space="preserve"> en</w:t>
            </w:r>
            <w:r w:rsidR="008E2083">
              <w:t xml:space="preserve"> </w:t>
            </w:r>
            <w:r w:rsidR="008E2083" w:rsidRPr="008E2083">
              <w:t>de aard van de vereiste inspanning in de plaatsingsprocedure</w:t>
            </w:r>
            <w:r w:rsidR="00F36367">
              <w:t xml:space="preserve">. Ga tijdens de fase van de marktverkenning </w:t>
            </w:r>
            <w:r w:rsidR="0092718B">
              <w:t xml:space="preserve">onder meer </w:t>
            </w:r>
            <w:r w:rsidR="00F36367">
              <w:t>na wat er gebruikelijk is in de sector</w:t>
            </w:r>
            <w:r w:rsidR="00BD25E3">
              <w:t xml:space="preserve"> </w:t>
            </w:r>
            <w:r w:rsidR="00387A00">
              <w:t xml:space="preserve">en welke </w:t>
            </w:r>
            <w:r w:rsidR="0092718B">
              <w:t xml:space="preserve">inspanningen </w:t>
            </w:r>
            <w:r w:rsidR="00EA4503">
              <w:t xml:space="preserve">(investeringen) </w:t>
            </w:r>
            <w:r w:rsidR="0092718B">
              <w:t xml:space="preserve">nodig zijn </w:t>
            </w:r>
            <w:r w:rsidR="00A76AF5">
              <w:t xml:space="preserve">voor </w:t>
            </w:r>
            <w:r w:rsidR="00EA4503">
              <w:t xml:space="preserve">het vervullen van </w:t>
            </w:r>
            <w:r w:rsidR="00541BD8">
              <w:t>potentiële</w:t>
            </w:r>
            <w:r w:rsidR="00EA4503">
              <w:t xml:space="preserve"> vereisten. </w:t>
            </w:r>
          </w:p>
          <w:p w14:paraId="069D493E" w14:textId="2FD29C62" w:rsidR="000A3E74" w:rsidRPr="00CA7A8C" w:rsidRDefault="000A3E74" w:rsidP="009B301D">
            <w:r w:rsidRPr="00CA7A8C">
              <w:rPr>
                <w:i/>
                <w:iCs/>
              </w:rPr>
              <w:lastRenderedPageBreak/>
              <w:t>Dit deel van het charter wordt door de FOD Economie van een update voorzien van zodra nieuwe informatie beschikbaar is en/of nieuwe wetgeving gepubliceerd werd in het Belgisch Staatsblad</w:t>
            </w:r>
          </w:p>
        </w:tc>
      </w:tr>
    </w:tbl>
    <w:p w14:paraId="09A63703" w14:textId="4F9C7C65" w:rsidR="00E30BBE" w:rsidRDefault="00B92F82" w:rsidP="00E30BBE">
      <w:pPr>
        <w:pStyle w:val="Kop4"/>
        <w:rPr>
          <w:lang w:val="nl-BE"/>
        </w:rPr>
      </w:pPr>
      <w:r w:rsidRPr="00B92F82">
        <w:rPr>
          <w:lang w:val="nl-BE"/>
        </w:rPr>
        <w:lastRenderedPageBreak/>
        <w:t>Prijsherziening</w:t>
      </w:r>
      <w:r w:rsidR="00C03AC2">
        <w:rPr>
          <w:lang w:val="nl-BE"/>
        </w:rPr>
        <w:t>sclausules</w:t>
      </w:r>
    </w:p>
    <w:p w14:paraId="62334C51" w14:textId="25D05481" w:rsidR="000A0AAB" w:rsidRDefault="000A0AAB" w:rsidP="000A0AAB">
      <w:r w:rsidRPr="003D534F">
        <w:t>De wet voorziet enkele uitzonderingen waarbij een wijziging van de opdracht mogelijk is</w:t>
      </w:r>
      <w:r>
        <w:t xml:space="preserve"> zonder de lancering van een nieuwe plaatsingsprocedure</w:t>
      </w:r>
      <w:r w:rsidRPr="003D534F">
        <w:t xml:space="preserve">. </w:t>
      </w:r>
      <w:r>
        <w:t>De prijs</w:t>
      </w:r>
      <w:r w:rsidRPr="00D57D83">
        <w:t>herzieningsclausule</w:t>
      </w:r>
      <w:r w:rsidRPr="003D534F">
        <w:t xml:space="preserve"> is één van d</w:t>
      </w:r>
      <w:r>
        <w:t>i</w:t>
      </w:r>
      <w:r w:rsidRPr="003D534F">
        <w:t xml:space="preserve">e </w:t>
      </w:r>
      <w:r w:rsidR="007530A6">
        <w:t xml:space="preserve">uitzonderingen of </w:t>
      </w:r>
      <w:r w:rsidRPr="003D534F">
        <w:t>mogelijkheden.</w:t>
      </w:r>
    </w:p>
    <w:p w14:paraId="591DF4B7" w14:textId="77777777" w:rsidR="000A0AAB" w:rsidRPr="00E703F6" w:rsidRDefault="000A0AAB" w:rsidP="000A0AAB">
      <w:r>
        <w:t xml:space="preserve">Het betreft een </w:t>
      </w:r>
      <w:r w:rsidRPr="00AE4114">
        <w:t>aanpassing van de prijzen van de opdracht op basis van bepaalde economische of sociale factoren</w:t>
      </w:r>
      <w:r>
        <w:t xml:space="preserve"> waardoor</w:t>
      </w:r>
      <w:r w:rsidRPr="00E703F6">
        <w:t xml:space="preserve"> de opdrachtnemer en de </w:t>
      </w:r>
      <w:r>
        <w:t xml:space="preserve">aanbesteder </w:t>
      </w:r>
      <w:r w:rsidRPr="00E703F6">
        <w:t>ervoor</w:t>
      </w:r>
      <w:r>
        <w:t xml:space="preserve"> kunnen</w:t>
      </w:r>
      <w:r w:rsidRPr="00E703F6">
        <w:t xml:space="preserve"> zorgen dat de prijzen van de overeenkomst de evolutie van de economische omstandigheden volgen op basis van objectieve parameters.</w:t>
      </w:r>
    </w:p>
    <w:p w14:paraId="15EC5046" w14:textId="77777777" w:rsidR="000A0AAB" w:rsidRPr="003D534F" w:rsidRDefault="000A0AAB" w:rsidP="000A0AAB">
      <w:r w:rsidRPr="003D534F">
        <w:t xml:space="preserve">Een prijsherziening is alleen mogelijk als de clausule </w:t>
      </w:r>
      <w:r w:rsidRPr="003D534F">
        <w:rPr>
          <w:b/>
          <w:bCs/>
        </w:rPr>
        <w:t>uitdrukkelijk en duidelijk</w:t>
      </w:r>
      <w:r w:rsidRPr="003D534F">
        <w:t xml:space="preserve"> voorzien is in het bestek. </w:t>
      </w:r>
    </w:p>
    <w:p w14:paraId="4184D3E2" w14:textId="26AEE870" w:rsidR="000A0AAB" w:rsidRPr="003D534F" w:rsidRDefault="000A0AAB" w:rsidP="000A0AAB">
      <w:r>
        <w:t xml:space="preserve">De prijsherziening is enkel verplicht in een beperkt aantal gevallen, zie eerder. </w:t>
      </w:r>
      <w:r w:rsidRPr="00CE15CD">
        <w:rPr>
          <w:b/>
          <w:bCs/>
        </w:rPr>
        <w:t>In gevallen waar prijsherziening niet verplicht is, is het</w:t>
      </w:r>
      <w:r w:rsidR="0070185F">
        <w:rPr>
          <w:b/>
          <w:bCs/>
        </w:rPr>
        <w:t xml:space="preserve"> vaak</w:t>
      </w:r>
      <w:r w:rsidRPr="00CE15CD">
        <w:rPr>
          <w:b/>
          <w:bCs/>
        </w:rPr>
        <w:t xml:space="preserve"> raadzaam om die </w:t>
      </w:r>
      <w:r w:rsidR="006715A8">
        <w:rPr>
          <w:b/>
          <w:bCs/>
        </w:rPr>
        <w:t xml:space="preserve">toch </w:t>
      </w:r>
      <w:r w:rsidRPr="00CE15CD">
        <w:rPr>
          <w:b/>
          <w:bCs/>
        </w:rPr>
        <w:t>te voorzien</w:t>
      </w:r>
      <w:r>
        <w:t>, onder meer</w:t>
      </w:r>
      <w:r w:rsidRPr="003D534F">
        <w:t xml:space="preserve"> voor meerjarige opdrachten of opdrachten waar de prijzen in belangrijke mate kunnen schommelen.</w:t>
      </w:r>
      <w:r>
        <w:t xml:space="preserve"> </w:t>
      </w:r>
      <w:r w:rsidRPr="00185FAC">
        <w:t xml:space="preserve">Een zorgvuldige </w:t>
      </w:r>
      <w:r w:rsidRPr="00F27902">
        <w:rPr>
          <w:b/>
          <w:bCs/>
        </w:rPr>
        <w:t>marktverkenning</w:t>
      </w:r>
      <w:r w:rsidRPr="00185FAC">
        <w:t xml:space="preserve"> </w:t>
      </w:r>
      <w:r>
        <w:t>moet de aanbesteder</w:t>
      </w:r>
      <w:r w:rsidRPr="00185FAC">
        <w:t xml:space="preserve"> in staat stellen om inzicht te krijgen in de structuur en het gedrag van de prijzen binnen een bepaalde markt.</w:t>
      </w:r>
      <w:r>
        <w:t xml:space="preserve"> </w:t>
      </w:r>
      <w:r w:rsidRPr="003D534F">
        <w:t xml:space="preserve">De formule </w:t>
      </w:r>
      <w:r>
        <w:t xml:space="preserve">van de prijsherziening </w:t>
      </w:r>
      <w:r w:rsidRPr="003D534F">
        <w:t>moet</w:t>
      </w:r>
      <w:r>
        <w:t xml:space="preserve"> immers</w:t>
      </w:r>
      <w:r w:rsidRPr="003D534F">
        <w:t xml:space="preserve"> gebaseerd zijn op een </w:t>
      </w:r>
      <w:r w:rsidRPr="003D534F">
        <w:rPr>
          <w:b/>
          <w:bCs/>
        </w:rPr>
        <w:t>relevante</w:t>
      </w:r>
      <w:r w:rsidRPr="003D534F">
        <w:t xml:space="preserve"> </w:t>
      </w:r>
      <w:r w:rsidRPr="00F27902">
        <w:rPr>
          <w:b/>
          <w:bCs/>
        </w:rPr>
        <w:t>prijsindex</w:t>
      </w:r>
      <w:r w:rsidRPr="003D534F">
        <w:t xml:space="preserve"> die </w:t>
      </w:r>
      <w:r w:rsidR="00D74545">
        <w:t>slaat</w:t>
      </w:r>
      <w:r w:rsidRPr="003D534F">
        <w:t xml:space="preserve"> op het voorwerp van de opdracht. We illustreren </w:t>
      </w:r>
      <w:r>
        <w:t>het nut daarvan</w:t>
      </w:r>
      <w:r w:rsidRPr="003D534F">
        <w:t xml:space="preserve"> aan de hand van onderstaand voorbeeld</w:t>
      </w:r>
      <w:r w:rsidR="00855F2D">
        <w:t>.</w:t>
      </w:r>
    </w:p>
    <w:p w14:paraId="59F0C360" w14:textId="2E04DABA" w:rsidR="000A0AAB" w:rsidRPr="003D534F" w:rsidRDefault="000A0AAB" w:rsidP="000A0AAB">
      <w:pPr>
        <w:rPr>
          <w:rFonts w:cs="Segoe UI"/>
        </w:rPr>
      </w:pPr>
      <w:r>
        <w:rPr>
          <w:rStyle w:val="normaltextrun"/>
          <w:rFonts w:cs="Segoe UI"/>
        </w:rPr>
        <w:t xml:space="preserve">Voorbeeld: </w:t>
      </w:r>
      <w:r>
        <w:rPr>
          <w:rStyle w:val="normaltextrun"/>
          <w:rFonts w:cs="Segoe UI"/>
          <w:i/>
          <w:iCs/>
        </w:rPr>
        <w:t>t</w:t>
      </w:r>
      <w:r w:rsidRPr="003D534F">
        <w:rPr>
          <w:rStyle w:val="normaltextrun"/>
          <w:rFonts w:cs="Segoe UI"/>
          <w:i/>
          <w:iCs/>
        </w:rPr>
        <w:t>wee verschillende overheden schrijven een openbare aanbesteding uit voor bieren, waters en frisdranken. Beide overheden voorzien een mogelijkheid tot het jaarlijks herzien van de prijzen. De ene overheid heeft de prijs van de dranken verbonden met de evolutie van de algemene consumptieprijsindex. Bij de andere overheid kan de prijs van de dranken aangepast worden met de evolutie van de consumptieprijsindex van de subgroep waartoe het product behoort; bijvoorbeeld mineraalwater, bieren… De oplossing voorzien door de tweede overheid zal een beter resultaat opleveren dan, hoewel goed bedoeld, de oplossing voorzien door de eerste overheid. </w:t>
      </w:r>
      <w:r w:rsidRPr="003D534F">
        <w:rPr>
          <w:rStyle w:val="eop"/>
          <w:rFonts w:cs="Segoe UI"/>
        </w:rPr>
        <w:t> </w:t>
      </w:r>
    </w:p>
    <w:p w14:paraId="0507E736" w14:textId="03E62B58" w:rsidR="000A0AAB" w:rsidRDefault="000A0AAB" w:rsidP="000A0AAB">
      <w:pPr>
        <w:rPr>
          <w:sz w:val="22"/>
          <w:szCs w:val="22"/>
        </w:rPr>
      </w:pPr>
      <w:r w:rsidRPr="00E75EB0">
        <w:t xml:space="preserve">Voor meer informatie over </w:t>
      </w:r>
      <w:r w:rsidR="002F0F4D">
        <w:t>het gebruik</w:t>
      </w:r>
      <w:r w:rsidR="002F0F4D" w:rsidRPr="00E75EB0">
        <w:t xml:space="preserve"> </w:t>
      </w:r>
      <w:r w:rsidRPr="00E75EB0">
        <w:t xml:space="preserve">van een prijsherzieningsclausule, zie </w:t>
      </w:r>
      <w:hyperlink r:id="rId86" w:history="1">
        <w:r w:rsidRPr="00E75EB0">
          <w:rPr>
            <w:rStyle w:val="Hyperlink"/>
          </w:rPr>
          <w:t>https://bosa.belgium.be/nl/themas/overheids-opdrachten/marktkenniscentrum/prijsherziening-bij-overheidsopdrachten</w:t>
        </w:r>
      </w:hyperlink>
      <w:r>
        <w:rPr>
          <w:sz w:val="22"/>
          <w:szCs w:val="22"/>
        </w:rPr>
        <w:t xml:space="preserve">. </w:t>
      </w:r>
    </w:p>
    <w:p w14:paraId="40B7A039" w14:textId="573FFB59" w:rsidR="00B92F82" w:rsidRPr="00B92F82" w:rsidRDefault="000A0AAB" w:rsidP="00B92F82">
      <w:r w:rsidRPr="00660356">
        <w:rPr>
          <w:b/>
          <w:bCs/>
          <w:color w:val="0070C0"/>
        </w:rPr>
        <w:t>Samengevat is het voor aanbesteders uitermate belangrijk om tijdens de fase van de marktverkenning het gedrag en de structuur van de relevante prijzen binnen een bepaalde markt te onderzoeken en wanneer nodig een prijsherzieningsclausule te voorzien.</w:t>
      </w:r>
      <w:r w:rsidRPr="00640119">
        <w:t xml:space="preserve"> Wanneer de aanbesteder dat niet doet, bestaat immers de kans dat de kandidaten en inschrijvers het ontbreken van een dergelijke clausule gaan doorrekenen in hun offertes en/of</w:t>
      </w:r>
      <w:r>
        <w:t xml:space="preserve"> het risico dat</w:t>
      </w:r>
      <w:r w:rsidRPr="00640119">
        <w:t xml:space="preserve"> de opdrachtnemers in de problemen komen tijdens de uitvoering van de opdracht door onvoorziene omstandigheden in de marktwerking – met alle gevolgen van dien voor de aanbesteder en </w:t>
      </w:r>
      <w:r>
        <w:t xml:space="preserve">de uitvoering van </w:t>
      </w:r>
      <w:r w:rsidRPr="00640119">
        <w:t xml:space="preserve">zijn opdracht. </w:t>
      </w:r>
    </w:p>
    <w:p w14:paraId="0088BFB7" w14:textId="77777777" w:rsidR="00437C23" w:rsidRPr="009069A3" w:rsidRDefault="00437C23">
      <w:pPr>
        <w:pStyle w:val="Kop2"/>
      </w:pPr>
      <w:bookmarkStart w:id="143" w:name="_Toc135839989"/>
      <w:bookmarkStart w:id="144" w:name="_Toc150870594"/>
      <w:r>
        <w:t>Richtlijnen en instructies</w:t>
      </w:r>
      <w:bookmarkEnd w:id="143"/>
      <w:bookmarkEnd w:id="144"/>
    </w:p>
    <w:tbl>
      <w:tblPr>
        <w:tblStyle w:val="Tabelraster"/>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E54780" w:rsidRPr="00E54780" w14:paraId="333E349A" w14:textId="77777777" w:rsidTr="00E54780">
        <w:tc>
          <w:tcPr>
            <w:tcW w:w="5000" w:type="pct"/>
            <w:shd w:val="clear" w:color="auto" w:fill="FBE4D5" w:themeFill="accent2" w:themeFillTint="33"/>
          </w:tcPr>
          <w:p w14:paraId="2A77066C" w14:textId="77777777" w:rsidR="00E54780" w:rsidRPr="00E54780" w:rsidRDefault="00E54780" w:rsidP="00763E4C">
            <w:pPr>
              <w:pStyle w:val="Kop4"/>
              <w:outlineLvl w:val="3"/>
              <w:rPr>
                <w:rStyle w:val="normaltextrun"/>
                <w:lang w:val="nl-BE"/>
              </w:rPr>
            </w:pPr>
            <w:r w:rsidRPr="00E54780">
              <w:rPr>
                <w:rStyle w:val="normaltextrun"/>
                <w:lang w:val="nl-BE"/>
              </w:rPr>
              <w:t>Selectiecriteria</w:t>
            </w:r>
          </w:p>
        </w:tc>
      </w:tr>
      <w:tr w:rsidR="00E54780" w:rsidRPr="00E54780" w14:paraId="3F702B66" w14:textId="77777777" w:rsidTr="00E54780">
        <w:tc>
          <w:tcPr>
            <w:tcW w:w="5000" w:type="pct"/>
            <w:shd w:val="clear" w:color="auto" w:fill="FBE4D5" w:themeFill="accent2" w:themeFillTint="33"/>
          </w:tcPr>
          <w:p w14:paraId="7474C9D7" w14:textId="5E39932E" w:rsidR="00E54780" w:rsidRPr="00216268" w:rsidRDefault="00E54780">
            <w:pPr>
              <w:pStyle w:val="Lijstnummering"/>
              <w:numPr>
                <w:ilvl w:val="0"/>
                <w:numId w:val="33"/>
              </w:numPr>
              <w:tabs>
                <w:tab w:val="clear" w:pos="360"/>
                <w:tab w:val="num" w:pos="306"/>
              </w:tabs>
              <w:ind w:left="306" w:hanging="306"/>
              <w:rPr>
                <w:rStyle w:val="eop"/>
                <w:szCs w:val="20"/>
              </w:rPr>
            </w:pPr>
            <w:r w:rsidRPr="00216268">
              <w:rPr>
                <w:rStyle w:val="normaltextrun"/>
                <w:szCs w:val="20"/>
              </w:rPr>
              <w:t xml:space="preserve">Reflecteer grondig over de noodzaak tot het formuleren van meerdere selectiecriteria. </w:t>
            </w:r>
            <w:r w:rsidRPr="00216268">
              <w:rPr>
                <w:rStyle w:val="normaltextrun"/>
                <w:color w:val="000000"/>
                <w:szCs w:val="20"/>
                <w:lang w:val="nl-NL"/>
              </w:rPr>
              <w:t>Kies enkel die selectiecriteria die relevant zijn voor de opdracht</w:t>
            </w:r>
            <w:r w:rsidR="007133BB">
              <w:rPr>
                <w:rStyle w:val="normaltextrun"/>
                <w:color w:val="000000"/>
                <w:szCs w:val="20"/>
                <w:lang w:val="nl-NL"/>
              </w:rPr>
              <w:t>.</w:t>
            </w:r>
            <w:r w:rsidR="007133BB">
              <w:rPr>
                <w:rStyle w:val="normaltextrun"/>
                <w:lang w:val="nl-NL"/>
              </w:rPr>
              <w:t xml:space="preserve"> Het</w:t>
            </w:r>
            <w:r w:rsidRPr="00216268">
              <w:rPr>
                <w:rStyle w:val="normaltextrun"/>
                <w:color w:val="000000"/>
                <w:szCs w:val="20"/>
                <w:lang w:val="nl-NL"/>
              </w:rPr>
              <w:t xml:space="preserve"> </w:t>
            </w:r>
            <w:r w:rsidR="005957D1">
              <w:rPr>
                <w:rStyle w:val="normaltextrun"/>
                <w:b/>
                <w:bCs/>
                <w:color w:val="000000"/>
                <w:szCs w:val="20"/>
                <w:lang w:val="nl-NL"/>
              </w:rPr>
              <w:t>g</w:t>
            </w:r>
            <w:r w:rsidR="005957D1">
              <w:rPr>
                <w:rStyle w:val="normaltextrun"/>
                <w:lang w:val="nl-NL"/>
              </w:rPr>
              <w:t>ebruik</w:t>
            </w:r>
            <w:r w:rsidR="007133BB">
              <w:rPr>
                <w:rStyle w:val="normaltextrun"/>
                <w:lang w:val="nl-NL"/>
              </w:rPr>
              <w:t xml:space="preserve"> van</w:t>
            </w:r>
            <w:r w:rsidR="005957D1" w:rsidRPr="00216268">
              <w:rPr>
                <w:rStyle w:val="normaltextrun"/>
                <w:b/>
                <w:bCs/>
                <w:color w:val="000000"/>
                <w:szCs w:val="20"/>
                <w:lang w:val="nl-NL"/>
              </w:rPr>
              <w:t xml:space="preserve"> </w:t>
            </w:r>
            <w:r w:rsidRPr="00216268">
              <w:rPr>
                <w:rStyle w:val="normaltextrun"/>
                <w:b/>
                <w:bCs/>
                <w:color w:val="000000"/>
                <w:szCs w:val="20"/>
                <w:lang w:val="nl-NL"/>
              </w:rPr>
              <w:t xml:space="preserve">economische of financiële </w:t>
            </w:r>
            <w:r w:rsidRPr="007B63B4">
              <w:rPr>
                <w:rStyle w:val="normaltextrun"/>
                <w:b/>
                <w:bCs/>
                <w:color w:val="000000"/>
                <w:szCs w:val="20"/>
                <w:lang w:val="nl-NL"/>
              </w:rPr>
              <w:t>criteria</w:t>
            </w:r>
            <w:r w:rsidR="00691614" w:rsidRPr="007B63B4">
              <w:rPr>
                <w:rStyle w:val="normaltextrun"/>
                <w:b/>
                <w:bCs/>
                <w:color w:val="000000"/>
                <w:szCs w:val="20"/>
                <w:lang w:val="nl-NL"/>
              </w:rPr>
              <w:t xml:space="preserve"> </w:t>
            </w:r>
            <w:r w:rsidR="007133BB" w:rsidRPr="007B63B4">
              <w:rPr>
                <w:rStyle w:val="normaltextrun"/>
                <w:b/>
                <w:bCs/>
                <w:color w:val="000000"/>
                <w:szCs w:val="20"/>
                <w:lang w:val="nl-NL"/>
              </w:rPr>
              <w:t>i</w:t>
            </w:r>
            <w:r w:rsidR="007133BB" w:rsidRPr="007B63B4">
              <w:rPr>
                <w:rStyle w:val="normaltextrun"/>
                <w:b/>
                <w:bCs/>
                <w:lang w:val="nl-NL"/>
              </w:rPr>
              <w:t xml:space="preserve">s </w:t>
            </w:r>
            <w:r w:rsidR="005957D1" w:rsidRPr="007B63B4">
              <w:rPr>
                <w:rStyle w:val="normaltextrun"/>
                <w:rFonts w:cs="Segoe UI"/>
                <w:b/>
                <w:bCs/>
              </w:rPr>
              <w:t>enkel</w:t>
            </w:r>
            <w:r w:rsidR="007133BB" w:rsidRPr="007B63B4">
              <w:rPr>
                <w:rStyle w:val="normaltextrun"/>
                <w:rFonts w:cs="Segoe UI"/>
                <w:b/>
                <w:bCs/>
              </w:rPr>
              <w:t xml:space="preserve"> aangewezen</w:t>
            </w:r>
            <w:r w:rsidR="005957D1">
              <w:rPr>
                <w:rStyle w:val="normaltextrun"/>
                <w:rFonts w:cs="Segoe UI"/>
              </w:rPr>
              <w:t xml:space="preserve"> </w:t>
            </w:r>
            <w:r w:rsidR="007B7194" w:rsidRPr="00B33B3E">
              <w:rPr>
                <w:rStyle w:val="normaltextrun"/>
                <w:rFonts w:cs="Segoe UI"/>
                <w:b/>
                <w:bCs/>
              </w:rPr>
              <w:t>wanneer</w:t>
            </w:r>
            <w:r w:rsidR="005957D1" w:rsidRPr="00B33B3E">
              <w:rPr>
                <w:rStyle w:val="normaltextrun"/>
                <w:rFonts w:cs="Segoe UI"/>
                <w:b/>
                <w:bCs/>
              </w:rPr>
              <w:t xml:space="preserve"> een marktverkenning</w:t>
            </w:r>
            <w:r w:rsidR="005957D1">
              <w:rPr>
                <w:rStyle w:val="normaltextrun"/>
                <w:rFonts w:cs="Segoe UI"/>
              </w:rPr>
              <w:t xml:space="preserve">, al dan niet in combinatie met eerdere ervaring, </w:t>
            </w:r>
            <w:r w:rsidR="005957D1" w:rsidRPr="00B33B3E">
              <w:rPr>
                <w:rStyle w:val="normaltextrun"/>
                <w:rFonts w:cs="Segoe UI"/>
                <w:b/>
                <w:bCs/>
              </w:rPr>
              <w:t>uitwijst dat een dergelijke vereiste een toegevoegde waarde biedt</w:t>
            </w:r>
            <w:r w:rsidRPr="00216268">
              <w:rPr>
                <w:rStyle w:val="normaltextrun"/>
                <w:color w:val="000000"/>
                <w:szCs w:val="20"/>
                <w:lang w:val="nl-NL"/>
              </w:rPr>
              <w:t>.</w:t>
            </w:r>
            <w:r w:rsidRPr="00216268">
              <w:rPr>
                <w:rStyle w:val="eop"/>
                <w:color w:val="000000"/>
                <w:szCs w:val="20"/>
              </w:rPr>
              <w:t> </w:t>
            </w:r>
          </w:p>
        </w:tc>
      </w:tr>
      <w:tr w:rsidR="00E54780" w:rsidRPr="00E54780" w14:paraId="576C2708" w14:textId="77777777" w:rsidTr="00E54780">
        <w:tc>
          <w:tcPr>
            <w:tcW w:w="5000" w:type="pct"/>
            <w:shd w:val="clear" w:color="auto" w:fill="FBE4D5" w:themeFill="accent2" w:themeFillTint="33"/>
          </w:tcPr>
          <w:p w14:paraId="4D3DD048" w14:textId="148DF2A6" w:rsidR="00E54780" w:rsidRPr="00E54780" w:rsidRDefault="00E54780">
            <w:pPr>
              <w:pStyle w:val="Lijstnummering"/>
              <w:rPr>
                <w:rStyle w:val="eop"/>
                <w:szCs w:val="20"/>
              </w:rPr>
            </w:pPr>
            <w:r w:rsidRPr="00E54780">
              <w:rPr>
                <w:rStyle w:val="normaltextrun"/>
                <w:color w:val="000000"/>
                <w:szCs w:val="20"/>
                <w:lang w:val="nl-NL"/>
              </w:rPr>
              <w:t xml:space="preserve">Zorg ervoor dat de selectiecriteria betrekking hebben op en proportioneel zijn met het voorwerp van de opdracht. Bepaal eveneens telkens een gepast en </w:t>
            </w:r>
            <w:r w:rsidRPr="00E54780">
              <w:rPr>
                <w:rStyle w:val="normaltextrun"/>
                <w:b/>
                <w:bCs/>
                <w:color w:val="000000"/>
                <w:szCs w:val="20"/>
                <w:lang w:val="nl-NL"/>
              </w:rPr>
              <w:t>proportioneel niveau</w:t>
            </w:r>
            <w:r w:rsidRPr="00E54780">
              <w:rPr>
                <w:rStyle w:val="normaltextrun"/>
                <w:color w:val="000000"/>
                <w:szCs w:val="20"/>
                <w:lang w:val="nl-NL"/>
              </w:rPr>
              <w:t xml:space="preserve"> ten opzichte van de aard en omvang van de opdracht.</w:t>
            </w:r>
            <w:r w:rsidRPr="00E54780">
              <w:rPr>
                <w:rStyle w:val="eop"/>
                <w:color w:val="000000"/>
                <w:szCs w:val="20"/>
              </w:rPr>
              <w:t xml:space="preserve"> Een grondige marktverkenning is opnieuw cruciaal. </w:t>
            </w:r>
            <w:r w:rsidRPr="00E54780">
              <w:rPr>
                <w:rStyle w:val="normaltextrun"/>
                <w:szCs w:val="20"/>
              </w:rPr>
              <w:t xml:space="preserve">Onthoud dat </w:t>
            </w:r>
            <w:r w:rsidRPr="00E54780">
              <w:rPr>
                <w:rStyle w:val="normaltextrun"/>
                <w:b/>
                <w:bCs/>
                <w:szCs w:val="20"/>
              </w:rPr>
              <w:t>hoe specifieker de selectiecriteria, hoe kleiner de mededinging</w:t>
            </w:r>
            <w:r w:rsidRPr="00E54780">
              <w:rPr>
                <w:rStyle w:val="normaltextrun"/>
                <w:szCs w:val="20"/>
              </w:rPr>
              <w:t>.</w:t>
            </w:r>
          </w:p>
        </w:tc>
      </w:tr>
      <w:tr w:rsidR="00E54780" w:rsidRPr="00E54780" w14:paraId="1CD81402" w14:textId="77777777" w:rsidTr="00E54780">
        <w:tc>
          <w:tcPr>
            <w:tcW w:w="5000" w:type="pct"/>
            <w:shd w:val="clear" w:color="auto" w:fill="FBE4D5" w:themeFill="accent2" w:themeFillTint="33"/>
          </w:tcPr>
          <w:p w14:paraId="6B2245AE" w14:textId="6761EC5D" w:rsidR="00E54780" w:rsidRPr="00E54780" w:rsidRDefault="00E54780">
            <w:pPr>
              <w:pStyle w:val="Lijstnummering"/>
              <w:rPr>
                <w:rStyle w:val="eop"/>
                <w:szCs w:val="20"/>
              </w:rPr>
            </w:pPr>
            <w:r w:rsidRPr="00E54780">
              <w:rPr>
                <w:rStyle w:val="eop"/>
                <w:color w:val="000000"/>
                <w:szCs w:val="20"/>
              </w:rPr>
              <w:lastRenderedPageBreak/>
              <w:t xml:space="preserve">Bij gebruik van een </w:t>
            </w:r>
            <w:r w:rsidRPr="00D277DF">
              <w:rPr>
                <w:rStyle w:val="eop"/>
                <w:b/>
                <w:bCs/>
                <w:color w:val="000000"/>
                <w:szCs w:val="20"/>
              </w:rPr>
              <w:t>verklaring inzake de omzet</w:t>
            </w:r>
            <w:r w:rsidRPr="00E54780">
              <w:rPr>
                <w:rStyle w:val="eop"/>
                <w:color w:val="000000"/>
                <w:szCs w:val="20"/>
              </w:rPr>
              <w:t>, dient de aanbesteder er zich van bewust te zijn dat het eisen van een serieuze minimumomzet een zware en negatieve impact zal hebben op de mededinging. Daarnaast is het draaien van een bepaalde omzet geen automatische garantie voor het correct kunnen uitvoeren van een opdracht. Bovendien is de omzet in een aantal sectoren periodiek van aard</w:t>
            </w:r>
            <w:r w:rsidR="001B7D18">
              <w:rPr>
                <w:rStyle w:val="eop"/>
                <w:color w:val="000000"/>
                <w:szCs w:val="20"/>
              </w:rPr>
              <w:t xml:space="preserve"> en hangt de</w:t>
            </w:r>
            <w:r w:rsidR="003F4498">
              <w:rPr>
                <w:rStyle w:val="eop"/>
                <w:color w:val="000000"/>
                <w:szCs w:val="20"/>
              </w:rPr>
              <w:t xml:space="preserve"> omzet</w:t>
            </w:r>
            <w:r w:rsidR="001B7D18">
              <w:rPr>
                <w:rStyle w:val="eop"/>
                <w:color w:val="000000"/>
                <w:szCs w:val="20"/>
              </w:rPr>
              <w:t xml:space="preserve"> eveneens af van het type product of dienst</w:t>
            </w:r>
            <w:r w:rsidRPr="00E54780">
              <w:rPr>
                <w:rStyle w:val="eop"/>
                <w:color w:val="000000"/>
                <w:szCs w:val="20"/>
              </w:rPr>
              <w:t xml:space="preserve">. </w:t>
            </w:r>
            <w:r w:rsidR="009117C7">
              <w:rPr>
                <w:rStyle w:val="eop"/>
                <w:color w:val="000000"/>
                <w:szCs w:val="20"/>
              </w:rPr>
              <w:t xml:space="preserve">Het </w:t>
            </w:r>
            <w:r w:rsidR="009117C7" w:rsidRPr="00C60FD7">
              <w:rPr>
                <w:rStyle w:val="eop"/>
                <w:b/>
                <w:bCs/>
                <w:color w:val="000000"/>
                <w:szCs w:val="20"/>
              </w:rPr>
              <w:t>g</w:t>
            </w:r>
            <w:r w:rsidR="000304D8" w:rsidRPr="00D277DF">
              <w:rPr>
                <w:rStyle w:val="eop"/>
                <w:b/>
                <w:bCs/>
                <w:color w:val="000000"/>
                <w:szCs w:val="20"/>
              </w:rPr>
              <w:t>ebruik een dergelijke verklaring</w:t>
            </w:r>
            <w:r w:rsidR="009678E4">
              <w:rPr>
                <w:rStyle w:val="eop"/>
                <w:b/>
                <w:bCs/>
                <w:color w:val="000000"/>
                <w:szCs w:val="20"/>
              </w:rPr>
              <w:t xml:space="preserve"> inzake omzet</w:t>
            </w:r>
            <w:r w:rsidR="009117C7">
              <w:rPr>
                <w:rStyle w:val="eop"/>
                <w:b/>
                <w:bCs/>
                <w:color w:val="000000"/>
                <w:szCs w:val="20"/>
              </w:rPr>
              <w:t xml:space="preserve"> is</w:t>
            </w:r>
            <w:r w:rsidR="000304D8" w:rsidRPr="00D277DF">
              <w:rPr>
                <w:rStyle w:val="eop"/>
                <w:b/>
                <w:bCs/>
                <w:color w:val="000000"/>
                <w:szCs w:val="20"/>
              </w:rPr>
              <w:t xml:space="preserve"> enkel</w:t>
            </w:r>
            <w:r w:rsidR="009117C7">
              <w:rPr>
                <w:rStyle w:val="eop"/>
                <w:b/>
                <w:bCs/>
                <w:color w:val="000000"/>
                <w:szCs w:val="20"/>
              </w:rPr>
              <w:t xml:space="preserve"> aangewezen</w:t>
            </w:r>
            <w:r w:rsidR="000304D8" w:rsidRPr="00D277DF">
              <w:rPr>
                <w:rStyle w:val="eop"/>
                <w:b/>
                <w:bCs/>
                <w:color w:val="000000"/>
                <w:szCs w:val="20"/>
              </w:rPr>
              <w:t xml:space="preserve"> wanneer de marktverkenning</w:t>
            </w:r>
            <w:r w:rsidR="0061358B" w:rsidRPr="00D277DF">
              <w:rPr>
                <w:rStyle w:val="eop"/>
                <w:b/>
                <w:bCs/>
                <w:color w:val="000000"/>
                <w:szCs w:val="20"/>
              </w:rPr>
              <w:t>, al dan niet in combinatie met eerdere ervaring, aantoont dat dit nuttig is.</w:t>
            </w:r>
            <w:r w:rsidR="00330CB8">
              <w:rPr>
                <w:rStyle w:val="eop"/>
                <w:color w:val="000000"/>
                <w:szCs w:val="20"/>
              </w:rPr>
              <w:t xml:space="preserve"> In alle andere gevallen wordt deze achterwege gelaten.</w:t>
            </w:r>
            <w:r w:rsidRPr="00E54780">
              <w:rPr>
                <w:rStyle w:val="eop"/>
                <w:color w:val="000000"/>
                <w:szCs w:val="20"/>
              </w:rPr>
              <w:t xml:space="preserve"> </w:t>
            </w:r>
          </w:p>
        </w:tc>
      </w:tr>
      <w:tr w:rsidR="00E54780" w:rsidRPr="00E54780" w14:paraId="7544D00B" w14:textId="77777777" w:rsidTr="00E54780">
        <w:tc>
          <w:tcPr>
            <w:tcW w:w="5000" w:type="pct"/>
            <w:shd w:val="clear" w:color="auto" w:fill="FBE4D5" w:themeFill="accent2" w:themeFillTint="33"/>
          </w:tcPr>
          <w:p w14:paraId="28844481" w14:textId="77777777" w:rsidR="00E54780" w:rsidRPr="00E54780" w:rsidRDefault="00E54780">
            <w:pPr>
              <w:pStyle w:val="Lijstnummering"/>
              <w:rPr>
                <w:rStyle w:val="eop"/>
                <w:szCs w:val="20"/>
              </w:rPr>
            </w:pPr>
            <w:r w:rsidRPr="00E54780">
              <w:rPr>
                <w:rStyle w:val="normaltextrun"/>
                <w:szCs w:val="20"/>
              </w:rPr>
              <w:t>Vermijd, in het kader van de technische en beroepsbekwaamheid, in de mate van het mogelijke het gebruik van dure certificaten.</w:t>
            </w:r>
          </w:p>
        </w:tc>
      </w:tr>
      <w:tr w:rsidR="00E54780" w:rsidRPr="00E54780" w14:paraId="2A187181" w14:textId="77777777" w:rsidTr="00E54780">
        <w:tc>
          <w:tcPr>
            <w:tcW w:w="5000" w:type="pct"/>
            <w:shd w:val="clear" w:color="auto" w:fill="FBE4D5" w:themeFill="accent2" w:themeFillTint="33"/>
          </w:tcPr>
          <w:p w14:paraId="6BEE2543" w14:textId="67459EB8" w:rsidR="00E54780" w:rsidRPr="00E54780" w:rsidRDefault="00E54780">
            <w:pPr>
              <w:pStyle w:val="Lijstnummering"/>
            </w:pPr>
            <w:r w:rsidRPr="00E54780">
              <w:rPr>
                <w:rStyle w:val="eop"/>
                <w:color w:val="000000"/>
                <w:szCs w:val="20"/>
              </w:rPr>
              <w:t xml:space="preserve">Het nut van een referentielijst wordt niet ter discussie gesteld: wel moet de aanbesteder grondig </w:t>
            </w:r>
            <w:r w:rsidRPr="00E54780">
              <w:rPr>
                <w:rStyle w:val="eop"/>
                <w:b/>
                <w:bCs/>
                <w:color w:val="000000"/>
                <w:szCs w:val="20"/>
              </w:rPr>
              <w:t>reflecteren over de omvang van de gevraagde referenties en de periode waarop ze mogen slaan</w:t>
            </w:r>
            <w:r w:rsidRPr="00E54780">
              <w:rPr>
                <w:rStyle w:val="eop"/>
                <w:color w:val="000000"/>
                <w:szCs w:val="20"/>
              </w:rPr>
              <w:t xml:space="preserve">. De aanbesteder dient zich ervan bewust te zijn dat wanneer hij kiest voor </w:t>
            </w:r>
            <w:r w:rsidR="00BB7F6E">
              <w:rPr>
                <w:rStyle w:val="eop"/>
                <w:color w:val="000000"/>
                <w:szCs w:val="20"/>
              </w:rPr>
              <w:t>(</w:t>
            </w:r>
            <w:r w:rsidRPr="00E54780">
              <w:rPr>
                <w:rStyle w:val="eop"/>
                <w:color w:val="000000"/>
                <w:szCs w:val="20"/>
              </w:rPr>
              <w:t>te</w:t>
            </w:r>
            <w:r w:rsidR="00BB7F6E">
              <w:rPr>
                <w:rStyle w:val="eop"/>
                <w:color w:val="000000"/>
                <w:szCs w:val="20"/>
              </w:rPr>
              <w:t>)</w:t>
            </w:r>
            <w:r w:rsidRPr="00E54780">
              <w:rPr>
                <w:rStyle w:val="eop"/>
                <w:color w:val="000000"/>
                <w:szCs w:val="20"/>
              </w:rPr>
              <w:t xml:space="preserve"> zware referenties, hij bijna automatisch de mededinging sterk beperkt gezien het Belgische kmo-landschap. Ga na of het gebruik van “open referenties” </w:t>
            </w:r>
            <w:r w:rsidR="00ED0F04">
              <w:rPr>
                <w:rStyle w:val="eop"/>
                <w:color w:val="000000"/>
                <w:szCs w:val="20"/>
              </w:rPr>
              <w:t>mogelijk</w:t>
            </w:r>
            <w:r w:rsidRPr="00E54780">
              <w:rPr>
                <w:rStyle w:val="eop"/>
                <w:color w:val="000000"/>
                <w:szCs w:val="20"/>
              </w:rPr>
              <w:t xml:space="preserve"> is en of de periode waarop de referenties mogen slaan, verlengd kan worden in functie van de mededinging.   </w:t>
            </w:r>
          </w:p>
        </w:tc>
      </w:tr>
      <w:tr w:rsidR="00E54780" w:rsidRPr="00E54780" w14:paraId="211F9E89" w14:textId="77777777" w:rsidTr="00E54780">
        <w:tc>
          <w:tcPr>
            <w:tcW w:w="5000" w:type="pct"/>
            <w:shd w:val="clear" w:color="auto" w:fill="FBE4D5" w:themeFill="accent2" w:themeFillTint="33"/>
          </w:tcPr>
          <w:p w14:paraId="06C72694" w14:textId="7948D114" w:rsidR="00E54780" w:rsidRPr="00E54780" w:rsidRDefault="00E54780">
            <w:pPr>
              <w:pStyle w:val="Lijstnummering"/>
              <w:rPr>
                <w:rStyle w:val="eop"/>
                <w:szCs w:val="20"/>
              </w:rPr>
            </w:pPr>
            <w:r w:rsidRPr="00E54780">
              <w:rPr>
                <w:rStyle w:val="eop"/>
                <w:color w:val="000000"/>
                <w:szCs w:val="20"/>
              </w:rPr>
              <w:t>Het nut van een bankverklaring is betwistbaar en kan als een bijkomende administratieve barrière beschouwd worden.</w:t>
            </w:r>
            <w:r w:rsidR="00CE39E3">
              <w:rPr>
                <w:rStyle w:val="eop"/>
                <w:color w:val="000000"/>
                <w:szCs w:val="20"/>
              </w:rPr>
              <w:t xml:space="preserve"> Het veralgemeend</w:t>
            </w:r>
            <w:r w:rsidR="003550F6">
              <w:rPr>
                <w:rStyle w:val="eop"/>
                <w:color w:val="000000"/>
                <w:szCs w:val="20"/>
              </w:rPr>
              <w:t>e</w:t>
            </w:r>
            <w:r w:rsidR="00CE39E3">
              <w:rPr>
                <w:rStyle w:val="eop"/>
                <w:color w:val="000000"/>
                <w:szCs w:val="20"/>
              </w:rPr>
              <w:t xml:space="preserve"> gebruik ervan wordt dus afgeraden</w:t>
            </w:r>
            <w:r w:rsidRPr="00E54780">
              <w:rPr>
                <w:rStyle w:val="eop"/>
                <w:color w:val="000000"/>
                <w:szCs w:val="20"/>
              </w:rPr>
              <w:t xml:space="preserve">. </w:t>
            </w:r>
          </w:p>
        </w:tc>
      </w:tr>
      <w:tr w:rsidR="00E54780" w:rsidRPr="00E54780" w14:paraId="2201ACF0" w14:textId="77777777" w:rsidTr="00E54780">
        <w:tc>
          <w:tcPr>
            <w:tcW w:w="5000" w:type="pct"/>
            <w:shd w:val="clear" w:color="auto" w:fill="FBE4D5" w:themeFill="accent2" w:themeFillTint="33"/>
          </w:tcPr>
          <w:p w14:paraId="5511AC09" w14:textId="3C5F6431" w:rsidR="00E54780" w:rsidRPr="00E54780" w:rsidRDefault="00E54780">
            <w:pPr>
              <w:pStyle w:val="Lijstnummering"/>
              <w:rPr>
                <w:rStyle w:val="eop"/>
                <w:szCs w:val="20"/>
              </w:rPr>
            </w:pPr>
            <w:r w:rsidRPr="00E54780">
              <w:rPr>
                <w:rStyle w:val="eop"/>
                <w:color w:val="000000"/>
                <w:szCs w:val="20"/>
              </w:rPr>
              <w:t>Erkenning van aannemers: in de mate van het mogelijke en</w:t>
            </w:r>
            <w:r w:rsidR="002B1604">
              <w:rPr>
                <w:rStyle w:val="eop"/>
                <w:color w:val="000000"/>
                <w:szCs w:val="20"/>
              </w:rPr>
              <w:t xml:space="preserve"> enkel</w:t>
            </w:r>
            <w:r w:rsidRPr="00E54780">
              <w:rPr>
                <w:rStyle w:val="eop"/>
                <w:color w:val="000000"/>
                <w:szCs w:val="20"/>
              </w:rPr>
              <w:t xml:space="preserve"> voor de procedures waar dat is toegelaten</w:t>
            </w:r>
            <w:r w:rsidR="00C32B73">
              <w:rPr>
                <w:rStyle w:val="eop"/>
                <w:color w:val="000000"/>
                <w:szCs w:val="20"/>
              </w:rPr>
              <w:t>, met name de openbare procedure en de VOPMB</w:t>
            </w:r>
            <w:r w:rsidRPr="00E54780">
              <w:rPr>
                <w:rStyle w:val="eop"/>
                <w:color w:val="000000"/>
                <w:szCs w:val="20"/>
              </w:rPr>
              <w:t>, beperkt de aanbesteder zich tot het vragen van de erkenning van aannemers en voorziet hij dus geen extra selectiecriteria bovenop de erkenning</w:t>
            </w:r>
            <w:r w:rsidR="009F7B22">
              <w:rPr>
                <w:rStyle w:val="eop"/>
                <w:color w:val="000000"/>
                <w:szCs w:val="20"/>
              </w:rPr>
              <w:t xml:space="preserve"> </w:t>
            </w:r>
            <w:r w:rsidR="00B762B1">
              <w:rPr>
                <w:rStyle w:val="eop"/>
                <w:color w:val="000000"/>
                <w:szCs w:val="20"/>
              </w:rPr>
              <w:t>–</w:t>
            </w:r>
            <w:r w:rsidR="009F7B22">
              <w:rPr>
                <w:rStyle w:val="eop"/>
                <w:color w:val="000000"/>
                <w:szCs w:val="20"/>
              </w:rPr>
              <w:t xml:space="preserve"> uitgezonderd bij heel gespecialiseerde werken</w:t>
            </w:r>
            <w:r w:rsidRPr="00E54780">
              <w:rPr>
                <w:rStyle w:val="eop"/>
                <w:color w:val="000000"/>
                <w:szCs w:val="20"/>
              </w:rPr>
              <w:t xml:space="preserve">. </w:t>
            </w:r>
          </w:p>
        </w:tc>
      </w:tr>
      <w:tr w:rsidR="00E54780" w:rsidRPr="00E54780" w14:paraId="7B58B707" w14:textId="77777777" w:rsidTr="00E54780">
        <w:tc>
          <w:tcPr>
            <w:tcW w:w="5000" w:type="pct"/>
            <w:shd w:val="clear" w:color="auto" w:fill="FBE4D5" w:themeFill="accent2" w:themeFillTint="33"/>
          </w:tcPr>
          <w:p w14:paraId="35543A98" w14:textId="77777777" w:rsidR="00E54780" w:rsidRPr="00E54780" w:rsidRDefault="00E54780">
            <w:pPr>
              <w:pStyle w:val="Lijstnummering"/>
              <w:rPr>
                <w:rStyle w:val="normaltextrun"/>
                <w:rFonts w:cs="Segoe UI"/>
                <w:szCs w:val="20"/>
              </w:rPr>
            </w:pPr>
            <w:r w:rsidRPr="00155681">
              <w:rPr>
                <w:rStyle w:val="normaltextrun"/>
                <w:b/>
                <w:bCs/>
                <w:color w:val="0070C0"/>
                <w:szCs w:val="20"/>
                <w:lang w:val="nl-NL"/>
              </w:rPr>
              <w:t>In het geval dat de aanbesteder geen enkele of maar één offerte heeft ontvangen voor een overheidsopdracht, is de aanbesteder verplicht om gebruik te maken van de toepassing in e-Procurement</w:t>
            </w:r>
            <w:r w:rsidRPr="00155681">
              <w:rPr>
                <w:rStyle w:val="normaltextrun"/>
                <w:color w:val="0070C0"/>
                <w:szCs w:val="20"/>
                <w:lang w:val="nl-NL"/>
              </w:rPr>
              <w:t xml:space="preserve"> </w:t>
            </w:r>
            <w:r w:rsidRPr="00E54780">
              <w:rPr>
                <w:rStyle w:val="normaltextrun"/>
                <w:color w:val="000000"/>
                <w:szCs w:val="20"/>
                <w:lang w:val="nl-NL"/>
              </w:rPr>
              <w:t xml:space="preserve">die toelaat om de niet-deelname van andere uitgenodigde en/of geïnteresseerde ondernemingen te bevragen, onder meer inzake de proportionaliteit van de selectiecriteria, uitgezonderd bij het specifieke geval waar maar één onderneming uitgenodigd werd om een offerte in te dienen en er omwille van die reden maar één offerte ontvangen werd. </w:t>
            </w:r>
          </w:p>
        </w:tc>
      </w:tr>
      <w:tr w:rsidR="00E54780" w:rsidRPr="00E54780" w14:paraId="627022EE" w14:textId="77777777" w:rsidTr="00E54780">
        <w:tc>
          <w:tcPr>
            <w:tcW w:w="5000" w:type="pct"/>
            <w:shd w:val="clear" w:color="auto" w:fill="FBE4D5" w:themeFill="accent2" w:themeFillTint="33"/>
          </w:tcPr>
          <w:p w14:paraId="15727145" w14:textId="77777777" w:rsidR="00E54780" w:rsidRPr="00E54780" w:rsidRDefault="00E54780">
            <w:pPr>
              <w:pStyle w:val="Lijstnummering"/>
              <w:rPr>
                <w:rStyle w:val="eop"/>
                <w:color w:val="000000"/>
                <w:szCs w:val="20"/>
                <w:lang w:val="nl-NL"/>
              </w:rPr>
            </w:pPr>
            <w:r w:rsidRPr="00E54780">
              <w:rPr>
                <w:rStyle w:val="normaltextrun"/>
                <w:color w:val="000000"/>
                <w:szCs w:val="20"/>
                <w:lang w:val="nl-NL"/>
              </w:rPr>
              <w:t xml:space="preserve">In alle andere gevallen is het gebruik van de nieuwe toepassing in e-Procurement sterk aanbevolen voor de aanbesteders en wordt dat beschouwd als een best practice. Een opvolging van het gebruik van de nieuwe toepassing in e-Procurement wordt voorzien.   </w:t>
            </w:r>
          </w:p>
        </w:tc>
      </w:tr>
      <w:tr w:rsidR="00E54780" w:rsidRPr="00E54780" w14:paraId="22BC8765" w14:textId="77777777" w:rsidTr="00E54780">
        <w:tc>
          <w:tcPr>
            <w:tcW w:w="5000" w:type="pct"/>
            <w:shd w:val="clear" w:color="auto" w:fill="FBE4D5" w:themeFill="accent2" w:themeFillTint="33"/>
          </w:tcPr>
          <w:p w14:paraId="02F8ED84" w14:textId="61B28D1F" w:rsidR="00E54780" w:rsidRPr="00D8612F" w:rsidRDefault="00E54780" w:rsidP="00763E4C">
            <w:pPr>
              <w:pStyle w:val="Kop4"/>
              <w:outlineLvl w:val="3"/>
              <w:rPr>
                <w:lang w:val="nl-BE"/>
              </w:rPr>
            </w:pPr>
            <w:r w:rsidRPr="00D8612F">
              <w:rPr>
                <w:lang w:val="nl-BE"/>
              </w:rPr>
              <w:t>Uitvoering</w:t>
            </w:r>
          </w:p>
        </w:tc>
      </w:tr>
      <w:tr w:rsidR="00E54780" w:rsidRPr="00E54780" w14:paraId="45B06B45" w14:textId="77777777" w:rsidTr="00E54780">
        <w:tc>
          <w:tcPr>
            <w:tcW w:w="5000" w:type="pct"/>
            <w:shd w:val="clear" w:color="auto" w:fill="FBE4D5" w:themeFill="accent2" w:themeFillTint="33"/>
          </w:tcPr>
          <w:p w14:paraId="2DE033B7" w14:textId="73ECCB59" w:rsidR="00A36BF5" w:rsidRPr="00D8612F" w:rsidRDefault="00A36BF5">
            <w:pPr>
              <w:pStyle w:val="Lijstnummering"/>
              <w:numPr>
                <w:ilvl w:val="0"/>
                <w:numId w:val="32"/>
              </w:numPr>
            </w:pPr>
            <w:r w:rsidRPr="00D8612F">
              <w:t>Hou het aspect “onafhankelijkheidsplicht” ten allen tijde in het achterhoofd, onder andere bij het bepalen van de betalingsmodaliteiten. Verricht daarover</w:t>
            </w:r>
            <w:r w:rsidR="00021329" w:rsidRPr="00D8612F">
              <w:t xml:space="preserve"> het nodige</w:t>
            </w:r>
            <w:r w:rsidRPr="00D8612F">
              <w:t xml:space="preserve"> voorafgaand onderzoek tijdens de fase van de marktverkenning.</w:t>
            </w:r>
          </w:p>
          <w:p w14:paraId="311A8B25" w14:textId="547A6A5F" w:rsidR="00332F26" w:rsidRPr="00D8612F" w:rsidRDefault="00D93B35">
            <w:pPr>
              <w:pStyle w:val="Lijstnummering"/>
              <w:numPr>
                <w:ilvl w:val="0"/>
                <w:numId w:val="32"/>
              </w:numPr>
            </w:pPr>
            <w:r w:rsidRPr="00D8612F">
              <w:rPr>
                <w:b/>
                <w:bCs/>
              </w:rPr>
              <w:t>De aanbesteder legt</w:t>
            </w:r>
            <w:r w:rsidR="00DA2BA6" w:rsidRPr="00D8612F">
              <w:rPr>
                <w:b/>
                <w:bCs/>
              </w:rPr>
              <w:t xml:space="preserve">, </w:t>
            </w:r>
            <w:r w:rsidR="0082006D" w:rsidRPr="00D8612F">
              <w:rPr>
                <w:b/>
                <w:bCs/>
              </w:rPr>
              <w:t>waar</w:t>
            </w:r>
            <w:r w:rsidR="00DA2BA6" w:rsidRPr="00D8612F">
              <w:rPr>
                <w:b/>
                <w:bCs/>
              </w:rPr>
              <w:t xml:space="preserve"> mogelijk,</w:t>
            </w:r>
            <w:r w:rsidRPr="00D8612F">
              <w:rPr>
                <w:b/>
                <w:bCs/>
              </w:rPr>
              <w:t xml:space="preserve"> geen borgtocht op</w:t>
            </w:r>
            <w:r w:rsidR="008B3CFD" w:rsidRPr="00D8612F">
              <w:rPr>
                <w:b/>
                <w:bCs/>
              </w:rPr>
              <w:t xml:space="preserve"> </w:t>
            </w:r>
            <w:r w:rsidR="00650FA3" w:rsidRPr="00D8612F">
              <w:rPr>
                <w:b/>
                <w:bCs/>
              </w:rPr>
              <w:t>als dat niet nodig is in het licht van het risico op een slechte uitvoering</w:t>
            </w:r>
            <w:r w:rsidR="00732C38" w:rsidRPr="00D8612F">
              <w:t>, en voorziet daartoe de nodige bepaling in de opdrachtdocumenten</w:t>
            </w:r>
            <w:r w:rsidRPr="00D8612F">
              <w:t xml:space="preserve">. Indien </w:t>
            </w:r>
            <w:r w:rsidR="00D32ECB" w:rsidRPr="00D8612F">
              <w:t>een borgtocht</w:t>
            </w:r>
            <w:r w:rsidRPr="00D8612F">
              <w:t xml:space="preserve"> nodig lijkt, gaat de aanbesteder na </w:t>
            </w:r>
            <w:r w:rsidR="00457F70" w:rsidRPr="00D8612F">
              <w:t>of die lager</w:t>
            </w:r>
            <w:r w:rsidRPr="00D8612F">
              <w:t xml:space="preserve"> dan vijf procent </w:t>
            </w:r>
            <w:r w:rsidR="00457F70" w:rsidRPr="00D8612F">
              <w:t>kan</w:t>
            </w:r>
            <w:r w:rsidRPr="00D8612F">
              <w:t>. Een borgtocht hoger dan vijf procent kan enkel in gemotiveerde gevallen.</w:t>
            </w:r>
          </w:p>
          <w:p w14:paraId="4CEBE56A" w14:textId="69A6E591" w:rsidR="00C267A6" w:rsidRPr="00D8612F" w:rsidRDefault="00C267A6">
            <w:pPr>
              <w:pStyle w:val="Lijstnummering"/>
              <w:numPr>
                <w:ilvl w:val="0"/>
                <w:numId w:val="32"/>
              </w:numPr>
            </w:pPr>
            <w:r w:rsidRPr="00D8612F">
              <w:t xml:space="preserve">In de mate van het mogelijke opteert de aanbesteder, in het geval dat het een raamovereenkomst betreft die aan één opdrachtnemer werd toegekend, voor een borgtocht per gesloten opdracht. Een globale borgtocht opleggen kan indien dat geen belemmering </w:t>
            </w:r>
            <w:r w:rsidR="00CE24E9" w:rsidRPr="00D8612F">
              <w:t xml:space="preserve">vormt </w:t>
            </w:r>
            <w:r w:rsidRPr="00D8612F">
              <w:t>voor de mededinging en wanneer dat de administratieve lasten voor zowel onderneming als aanbesteder ten goede komt.</w:t>
            </w:r>
          </w:p>
          <w:p w14:paraId="35286FD6" w14:textId="2DD1BD08" w:rsidR="006C3F9F" w:rsidRPr="00D8612F" w:rsidRDefault="006C3F9F">
            <w:pPr>
              <w:pStyle w:val="Lijstnummering"/>
              <w:numPr>
                <w:ilvl w:val="0"/>
                <w:numId w:val="32"/>
              </w:numPr>
            </w:pPr>
            <w:r w:rsidRPr="00D8612F">
              <w:t xml:space="preserve">Inzake </w:t>
            </w:r>
            <w:r w:rsidRPr="00D8612F">
              <w:rPr>
                <w:b/>
                <w:bCs/>
              </w:rPr>
              <w:t>voorschotten</w:t>
            </w:r>
            <w:r w:rsidRPr="00D8612F">
              <w:t>:</w:t>
            </w:r>
          </w:p>
          <w:p w14:paraId="12DBBBBB" w14:textId="2976A9BB" w:rsidR="00935CFB" w:rsidRPr="00D8612F" w:rsidRDefault="00935CFB">
            <w:pPr>
              <w:pStyle w:val="Lijstnummering3"/>
              <w:rPr>
                <w:lang w:val="nl-BE"/>
              </w:rPr>
            </w:pPr>
            <w:r w:rsidRPr="00D8612F">
              <w:rPr>
                <w:lang w:val="nl-BE"/>
              </w:rPr>
              <w:t>voor overheidsopdrachten die niet vallen onder het toepassingsgebied van de verplichte voorschotten</w:t>
            </w:r>
            <w:r w:rsidR="00895C40" w:rsidRPr="00D8612F">
              <w:rPr>
                <w:lang w:val="nl-BE"/>
              </w:rPr>
              <w:t>, noch</w:t>
            </w:r>
            <w:r w:rsidR="00DE6349" w:rsidRPr="00D8612F">
              <w:rPr>
                <w:lang w:val="nl-BE"/>
              </w:rPr>
              <w:t xml:space="preserve"> </w:t>
            </w:r>
            <w:r w:rsidRPr="00D8612F">
              <w:rPr>
                <w:lang w:val="nl-BE"/>
              </w:rPr>
              <w:t xml:space="preserve">onder de uitzonderingen die handelen over het verschuiven van het financieringsmoment of een te korte uitvoeringstermijn, waar mogelijk </w:t>
            </w:r>
            <w:r w:rsidR="00296A23" w:rsidRPr="00D8612F">
              <w:rPr>
                <w:lang w:val="nl-BE"/>
              </w:rPr>
              <w:t xml:space="preserve">toch </w:t>
            </w:r>
            <w:r w:rsidRPr="00D8612F">
              <w:rPr>
                <w:lang w:val="nl-BE"/>
              </w:rPr>
              <w:t>voorschotten toekennen – zeker voor micro- en kleine ondernemingen –</w:t>
            </w:r>
            <w:r w:rsidR="00BA2F8B" w:rsidRPr="00D8612F">
              <w:rPr>
                <w:lang w:val="nl-BE"/>
              </w:rPr>
              <w:t xml:space="preserve"> </w:t>
            </w:r>
            <w:r w:rsidRPr="00D8612F">
              <w:rPr>
                <w:lang w:val="nl-BE"/>
              </w:rPr>
              <w:t>weliswaar met inachtneming van de wettelijk opgelegde maxima;</w:t>
            </w:r>
          </w:p>
          <w:p w14:paraId="12BDA57E" w14:textId="733A3BD3" w:rsidR="00935CFB" w:rsidRPr="00D8612F" w:rsidRDefault="00935CFB">
            <w:pPr>
              <w:pStyle w:val="Lijstnummering3"/>
              <w:rPr>
                <w:lang w:val="nl-BE"/>
              </w:rPr>
            </w:pPr>
            <w:r w:rsidRPr="00D8612F">
              <w:rPr>
                <w:lang w:val="nl-BE"/>
              </w:rPr>
              <w:lastRenderedPageBreak/>
              <w:t>in de mate van het mogelijke voor kleine ondernemingen het maximale voorschot</w:t>
            </w:r>
            <w:r w:rsidR="00127756" w:rsidRPr="00D8612F">
              <w:rPr>
                <w:lang w:val="nl-BE"/>
              </w:rPr>
              <w:t xml:space="preserve"> </w:t>
            </w:r>
            <w:r w:rsidRPr="00D8612F">
              <w:rPr>
                <w:lang w:val="nl-BE"/>
              </w:rPr>
              <w:t xml:space="preserve"> voorzien;</w:t>
            </w:r>
          </w:p>
          <w:p w14:paraId="4F7ED7BF" w14:textId="6B89721E" w:rsidR="00EA2001" w:rsidRPr="00D8612F" w:rsidRDefault="00EA2001">
            <w:pPr>
              <w:pStyle w:val="Lijstnummering3"/>
              <w:rPr>
                <w:lang w:val="nl-BE"/>
              </w:rPr>
            </w:pPr>
            <w:r w:rsidRPr="00D8612F">
              <w:rPr>
                <w:lang w:val="nl-BE"/>
              </w:rPr>
              <w:t xml:space="preserve">voor de verrekening van het voorschot ofwel de standaardregeling voorzien door de wetgeving te volgen of die over te nemen in de opdrachtdocumenten, ofwel bij het uitwerken van een eigen regeling het voorschot zeker niet volledig verrekenen met de eerste factu(u)r(en). </w:t>
            </w:r>
            <w:r w:rsidR="00DC673E" w:rsidRPr="00D8612F">
              <w:rPr>
                <w:lang w:val="nl-BE"/>
              </w:rPr>
              <w:t>Indien een aanbesteder via een eigen regeling toch onmiddellijk het volledige voorschot wenst te verrekenen</w:t>
            </w:r>
            <w:r w:rsidR="00FD11F6" w:rsidRPr="00D8612F">
              <w:rPr>
                <w:lang w:val="nl-BE"/>
              </w:rPr>
              <w:t>: enkel wanneer</w:t>
            </w:r>
            <w:r w:rsidRPr="00D8612F">
              <w:rPr>
                <w:lang w:val="nl-BE"/>
              </w:rPr>
              <w:t xml:space="preserve"> die eerste factu(u)r(en) een substantieel deel van de eindfactuur omvat(ten), veertig procent of meer, of de eindfactuur is;</w:t>
            </w:r>
          </w:p>
          <w:p w14:paraId="03B0A5B7" w14:textId="5E3C6B03" w:rsidR="006C3F9F" w:rsidRPr="00D8612F" w:rsidRDefault="00EA2001">
            <w:pPr>
              <w:pStyle w:val="Lijstnummering3"/>
              <w:rPr>
                <w:lang w:val="nl-BE"/>
              </w:rPr>
            </w:pPr>
            <w:r w:rsidRPr="00D8612F">
              <w:rPr>
                <w:lang w:val="nl-BE"/>
              </w:rPr>
              <w:t>in de opdrachtdocumenten verduidelijken hoe de begunstigde onderneming het voorschot moet aanvragen, zowel de procedure als de vormvereisten, en een herinnering daaraan voorzien na de gunning.</w:t>
            </w:r>
            <w:r w:rsidR="00935CFB" w:rsidRPr="00D8612F">
              <w:rPr>
                <w:lang w:val="nl-BE"/>
              </w:rPr>
              <w:t xml:space="preserve"> </w:t>
            </w:r>
          </w:p>
          <w:p w14:paraId="6922B87F" w14:textId="43F16181" w:rsidR="006C3F9F" w:rsidRPr="00D8612F" w:rsidRDefault="006C3F9F">
            <w:pPr>
              <w:pStyle w:val="Lijstnummering"/>
            </w:pPr>
            <w:r w:rsidRPr="00D8612F">
              <w:t xml:space="preserve">Inzake de </w:t>
            </w:r>
            <w:r w:rsidRPr="00D8612F">
              <w:rPr>
                <w:b/>
                <w:bCs/>
              </w:rPr>
              <w:t>biedvergoeding</w:t>
            </w:r>
            <w:r w:rsidRPr="00D8612F">
              <w:t>:</w:t>
            </w:r>
          </w:p>
          <w:p w14:paraId="61F7C024" w14:textId="58428AEB" w:rsidR="00E301B7" w:rsidRPr="00D8612F" w:rsidRDefault="00CF4CAA">
            <w:pPr>
              <w:pStyle w:val="Lijstnummering3"/>
              <w:numPr>
                <w:ilvl w:val="0"/>
                <w:numId w:val="42"/>
              </w:numPr>
              <w:tabs>
                <w:tab w:val="clear" w:pos="926"/>
                <w:tab w:val="num" w:pos="1156"/>
              </w:tabs>
              <w:ind w:left="873" w:hanging="307"/>
              <w:rPr>
                <w:lang w:val="nl-BE"/>
              </w:rPr>
            </w:pPr>
            <w:r w:rsidRPr="00D8612F">
              <w:rPr>
                <w:lang w:val="nl-BE"/>
              </w:rPr>
              <w:t>v</w:t>
            </w:r>
            <w:r w:rsidR="00E301B7" w:rsidRPr="00D8612F">
              <w:rPr>
                <w:lang w:val="nl-BE"/>
              </w:rPr>
              <w:t>oorzie een biedvergoeding waar nodig</w:t>
            </w:r>
            <w:r w:rsidR="00F71360" w:rsidRPr="00D8612F">
              <w:rPr>
                <w:lang w:val="nl-BE"/>
              </w:rPr>
              <w:t>.</w:t>
            </w:r>
            <w:r w:rsidR="00E301B7" w:rsidRPr="00D8612F">
              <w:rPr>
                <w:lang w:val="nl-BE"/>
              </w:rPr>
              <w:t xml:space="preserve"> </w:t>
            </w:r>
            <w:r w:rsidR="00F71360" w:rsidRPr="00D8612F">
              <w:rPr>
                <w:lang w:val="nl-BE"/>
              </w:rPr>
              <w:t>I</w:t>
            </w:r>
            <w:r w:rsidR="00E301B7" w:rsidRPr="00D8612F">
              <w:rPr>
                <w:lang w:val="nl-BE"/>
              </w:rPr>
              <w:t xml:space="preserve">n het licht daarvan is het belangrijker dan ooit om goed na te denken over wat er gevraagd wordt van de inschrijver in welke fase van de </w:t>
            </w:r>
            <w:r w:rsidR="00B72558" w:rsidRPr="00D8612F">
              <w:rPr>
                <w:lang w:val="nl-BE"/>
              </w:rPr>
              <w:t>(</w:t>
            </w:r>
            <w:r w:rsidR="00E301B7" w:rsidRPr="00D8612F">
              <w:rPr>
                <w:lang w:val="nl-BE"/>
              </w:rPr>
              <w:t>plaatsings</w:t>
            </w:r>
            <w:r w:rsidR="00B72558" w:rsidRPr="00D8612F">
              <w:rPr>
                <w:lang w:val="nl-BE"/>
              </w:rPr>
              <w:t>)</w:t>
            </w:r>
            <w:r w:rsidR="00E301B7" w:rsidRPr="00D8612F">
              <w:rPr>
                <w:lang w:val="nl-BE"/>
              </w:rPr>
              <w:t>procedure en over de te gebruiken plaatsingsprocedure. Hierbij wordt opnieuw doorverwezen naar de richtlijnen en instructies voor principe 3 over twee- of meerfasige procedures en procedures met onderhandelingen</w:t>
            </w:r>
            <w:r w:rsidR="00BA2F8B" w:rsidRPr="00D8612F">
              <w:rPr>
                <w:lang w:val="nl-BE"/>
              </w:rPr>
              <w:t>;</w:t>
            </w:r>
            <w:r w:rsidR="00E301B7" w:rsidRPr="00D8612F">
              <w:rPr>
                <w:lang w:val="nl-BE"/>
              </w:rPr>
              <w:t xml:space="preserve"> </w:t>
            </w:r>
          </w:p>
          <w:p w14:paraId="447233A8" w14:textId="71498B88" w:rsidR="00E301B7" w:rsidRPr="00D8612F" w:rsidRDefault="00CF4CAA">
            <w:pPr>
              <w:pStyle w:val="Lijstnummering3"/>
              <w:rPr>
                <w:lang w:val="nl-BE"/>
              </w:rPr>
            </w:pPr>
            <w:r w:rsidRPr="00D8612F">
              <w:rPr>
                <w:lang w:val="nl-BE"/>
              </w:rPr>
              <w:t>f</w:t>
            </w:r>
            <w:r w:rsidR="00E301B7" w:rsidRPr="00D8612F">
              <w:rPr>
                <w:lang w:val="nl-BE"/>
              </w:rPr>
              <w:t xml:space="preserve">ocus, bij het bepalen van de hoogte van de biedvergoeding op de complexiteit van het project en de aard van de vereiste inspanning in de plaatsingsprocedure. Ga tijdens de fase van de marktverkenning onder meer na wat er gebruikelijk is in de sector en welke inspanningen (investeringen) nodig zijn voor het vervullen van potentiële vereisten. </w:t>
            </w:r>
          </w:p>
          <w:p w14:paraId="70F29965" w14:textId="7CC941C0" w:rsidR="004F23F8" w:rsidRPr="00D8612F" w:rsidRDefault="00847FDD" w:rsidP="00925485">
            <w:pPr>
              <w:pStyle w:val="Lijstnummering"/>
            </w:pPr>
            <w:r w:rsidRPr="00D8612F">
              <w:t xml:space="preserve">Inzake </w:t>
            </w:r>
            <w:r w:rsidR="008E41AD" w:rsidRPr="00D8612F">
              <w:t xml:space="preserve">de </w:t>
            </w:r>
            <w:r w:rsidRPr="00D8612F">
              <w:rPr>
                <w:b/>
                <w:bCs/>
              </w:rPr>
              <w:t>betaalt</w:t>
            </w:r>
            <w:r w:rsidR="003D5ED0" w:rsidRPr="00D8612F">
              <w:rPr>
                <w:b/>
                <w:bCs/>
              </w:rPr>
              <w:t>ermijnen</w:t>
            </w:r>
            <w:r w:rsidR="003D5ED0" w:rsidRPr="00D8612F">
              <w:t>:</w:t>
            </w:r>
          </w:p>
          <w:p w14:paraId="1D86BB72" w14:textId="39F8DB38" w:rsidR="003D5ED0" w:rsidRPr="00D8612F" w:rsidRDefault="003D5ED0" w:rsidP="003D5ED0">
            <w:pPr>
              <w:pStyle w:val="Lijstnummering3"/>
              <w:numPr>
                <w:ilvl w:val="0"/>
                <w:numId w:val="47"/>
              </w:numPr>
              <w:rPr>
                <w:lang w:val="nl-BE"/>
              </w:rPr>
            </w:pPr>
            <w:r w:rsidRPr="00D8612F">
              <w:rPr>
                <w:lang w:val="nl-BE"/>
              </w:rPr>
              <w:t>Respecteer de wettelijke betaaltermijnen die vandaag van kracht zijn. Wanneer de vastgestelde beta</w:t>
            </w:r>
            <w:r w:rsidR="005A0576" w:rsidRPr="00D8612F">
              <w:rPr>
                <w:lang w:val="nl-BE"/>
              </w:rPr>
              <w:t>al</w:t>
            </w:r>
            <w:r w:rsidRPr="00D8612F">
              <w:rPr>
                <w:lang w:val="nl-BE"/>
              </w:rPr>
              <w:t>termijnen worden overschreden, berekent de aanbestedende overheid de verwijlintresten waar de opdrachtnemer van rechtswege recht op heeft en worden de verschuldigde bedragen automatisch betaald.</w:t>
            </w:r>
          </w:p>
          <w:p w14:paraId="54D1B916" w14:textId="77777777" w:rsidR="003D5ED0" w:rsidRPr="00D8612F" w:rsidRDefault="003D5ED0" w:rsidP="003D5ED0">
            <w:pPr>
              <w:pStyle w:val="Lijstnummering3"/>
              <w:rPr>
                <w:lang w:val="nl-BE"/>
              </w:rPr>
            </w:pPr>
            <w:r w:rsidRPr="00D8612F">
              <w:rPr>
                <w:lang w:val="nl-BE"/>
              </w:rPr>
              <w:t>Voorzie voor opdrachten met een lange uitvoeringstermijn en opdrachten die belangrijke voorafgaande investeringen vergen een betalingsplan in de opdrachtdocumenten dat is afgestemd op de te leveren prestaties.</w:t>
            </w:r>
          </w:p>
          <w:p w14:paraId="5908F453" w14:textId="6C714B6E" w:rsidR="003D5ED0" w:rsidRPr="00D8612F" w:rsidRDefault="003D5ED0" w:rsidP="003D5ED0">
            <w:pPr>
              <w:pStyle w:val="Lijstnummering3"/>
              <w:rPr>
                <w:lang w:val="nl-BE"/>
              </w:rPr>
            </w:pPr>
            <w:r w:rsidRPr="00D8612F">
              <w:rPr>
                <w:lang w:val="nl-BE"/>
              </w:rPr>
              <w:t xml:space="preserve">Hanteer de wettelijke, maximale betaaltermijnen niet als standaard betaaltermijnen. Het gaat immers om maxima. Een dergelijke </w:t>
            </w:r>
            <w:r w:rsidR="00D87FA4" w:rsidRPr="00D8612F">
              <w:rPr>
                <w:lang w:val="nl-BE"/>
              </w:rPr>
              <w:t>praktijk</w:t>
            </w:r>
            <w:r w:rsidRPr="00D8612F">
              <w:rPr>
                <w:lang w:val="nl-BE"/>
              </w:rPr>
              <w:t xml:space="preserve"> wordt als een bad practice beschouwd.</w:t>
            </w:r>
          </w:p>
          <w:p w14:paraId="35A2E824" w14:textId="1C3EBCDD" w:rsidR="00E54780" w:rsidRPr="00D8612F" w:rsidRDefault="00E54780">
            <w:pPr>
              <w:pStyle w:val="Lijstnummering"/>
              <w:numPr>
                <w:ilvl w:val="0"/>
                <w:numId w:val="32"/>
              </w:numPr>
            </w:pPr>
            <w:r w:rsidRPr="00D8612F">
              <w:t xml:space="preserve">Voorzie, op basis van een grondige marktverkenning, waar nodig een </w:t>
            </w:r>
            <w:r w:rsidRPr="00F43722">
              <w:rPr>
                <w:b/>
                <w:bCs/>
              </w:rPr>
              <w:t>prijsherzieningsclausule</w:t>
            </w:r>
            <w:r w:rsidRPr="00D8612F">
              <w:t xml:space="preserve"> – ook wanneer dat niet verplicht is. Maak daarbij gebruik van relevante prijsindexen en pas die correct toe. Zo worden zowel plotse liquiditeitsproblemen bij de opdrachtnemers vermeden als dat ondernemers een mogelijke prijsstijging bij de offerte doorrekenen.</w:t>
            </w:r>
          </w:p>
        </w:tc>
      </w:tr>
    </w:tbl>
    <w:p w14:paraId="11E278AA" w14:textId="1F9A4B50" w:rsidR="005D4EB7" w:rsidRDefault="005D4EB7">
      <w:pPr>
        <w:pStyle w:val="Kop1"/>
        <w:jc w:val="both"/>
      </w:pPr>
      <w:bookmarkStart w:id="145" w:name="_Toc132703177"/>
      <w:bookmarkStart w:id="146" w:name="_Toc135839990"/>
      <w:bookmarkStart w:id="147" w:name="_Toc150870595"/>
      <w:r>
        <w:lastRenderedPageBreak/>
        <w:t xml:space="preserve">Principe 9 – </w:t>
      </w:r>
      <w:bookmarkEnd w:id="145"/>
      <w:r w:rsidR="009E78EA" w:rsidRPr="009E78EA">
        <w:t>Proportionaliteit bij gunningscriteria en gunnen op basis van de economisch meest voordelige offerte</w:t>
      </w:r>
      <w:bookmarkEnd w:id="146"/>
      <w:bookmarkEnd w:id="147"/>
    </w:p>
    <w:p w14:paraId="49AFBCA3" w14:textId="77777777" w:rsidR="00437C23" w:rsidRDefault="00437C23">
      <w:pPr>
        <w:pStyle w:val="Kop2"/>
      </w:pPr>
      <w:bookmarkStart w:id="148" w:name="_Toc135839991"/>
      <w:bookmarkStart w:id="149" w:name="_Toc150870596"/>
      <w:r>
        <w:t>Doelstelling</w:t>
      </w:r>
      <w:bookmarkEnd w:id="148"/>
      <w:bookmarkEnd w:id="149"/>
    </w:p>
    <w:p w14:paraId="56B74168" w14:textId="7A8F80D6" w:rsidR="00154CC8" w:rsidRDefault="00F018F3" w:rsidP="00154CC8">
      <w:r>
        <w:t>G</w:t>
      </w:r>
      <w:r w:rsidR="00154CC8" w:rsidRPr="5E47B54A">
        <w:t>unningscriteria vastleggen die betrekking hebben op het voorwerp van de opdracht</w:t>
      </w:r>
      <w:r w:rsidR="00BB06DD">
        <w:t>,</w:t>
      </w:r>
      <w:r w:rsidR="00154CC8" w:rsidRPr="5E47B54A">
        <w:t xml:space="preserve"> aan de hand van dewelke de offertes daadwerkelijk kunnen worden getoetst en waarbij in de beoordeling de diversiteit van de offertes tot uiting kan komen. </w:t>
      </w:r>
    </w:p>
    <w:p w14:paraId="5DF196FE" w14:textId="0F1AEB7B" w:rsidR="00F43DBE" w:rsidRDefault="00154CC8" w:rsidP="00154CC8">
      <w:r w:rsidRPr="5E47B54A">
        <w:t>Er wordt daarbij een weloverwogen keuze gemaakt tussen gunnen op basis van prijs, kosten of de beste prijs-kwaliteitsverhouding</w:t>
      </w:r>
      <w:r w:rsidR="00064724">
        <w:t>.</w:t>
      </w:r>
      <w:r w:rsidRPr="5E47B54A">
        <w:t xml:space="preserve"> </w:t>
      </w:r>
      <w:r w:rsidR="00064724">
        <w:t>D</w:t>
      </w:r>
      <w:r w:rsidRPr="5E47B54A">
        <w:t>aarbij</w:t>
      </w:r>
      <w:r w:rsidR="00232E81">
        <w:t xml:space="preserve"> worden</w:t>
      </w:r>
      <w:r w:rsidRPr="5E47B54A">
        <w:t xml:space="preserve"> op systematische wijze de aspecten “proportionaliteit”</w:t>
      </w:r>
      <w:r w:rsidR="00232E81">
        <w:t>, in de zin van de</w:t>
      </w:r>
      <w:r w:rsidR="0016735E">
        <w:t xml:space="preserve"> reële</w:t>
      </w:r>
      <w:r w:rsidR="00232E81">
        <w:t xml:space="preserve"> im</w:t>
      </w:r>
      <w:r w:rsidR="007269BE">
        <w:t>pact van de gekozen criteria op de daadwerkelijke mededinging,</w:t>
      </w:r>
      <w:r w:rsidRPr="5E47B54A">
        <w:t xml:space="preserve"> en “toegang van kmo’s” mee in overweging worden genomen</w:t>
      </w:r>
      <w:r>
        <w:t>.</w:t>
      </w:r>
    </w:p>
    <w:p w14:paraId="5F4BB657" w14:textId="77777777" w:rsidR="00437C23" w:rsidRDefault="00437C23">
      <w:pPr>
        <w:pStyle w:val="Kop2"/>
      </w:pPr>
      <w:bookmarkStart w:id="150" w:name="_Toc135839992"/>
      <w:bookmarkStart w:id="151" w:name="_Toc150870597"/>
      <w:r>
        <w:lastRenderedPageBreak/>
        <w:t>Wat zegt de reglementering overheidsopdrachten?</w:t>
      </w:r>
      <w:bookmarkEnd w:id="150"/>
      <w:bookmarkEnd w:id="151"/>
    </w:p>
    <w:p w14:paraId="74DB2925" w14:textId="6A401B9F" w:rsidR="005573E0" w:rsidRPr="000B25E2" w:rsidRDefault="005573E0" w:rsidP="005573E0">
      <w:r>
        <w:t>Artikel 81 van d</w:t>
      </w:r>
      <w:r w:rsidRPr="3273CE1F">
        <w:t xml:space="preserve">e wet van </w:t>
      </w:r>
      <w:hyperlink r:id="rId87" w:history="1">
        <w:r w:rsidRPr="000076D3">
          <w:rPr>
            <w:rStyle w:val="Hyperlink"/>
          </w:rPr>
          <w:t>17 juni 2016</w:t>
        </w:r>
      </w:hyperlink>
      <w:r w:rsidRPr="3273CE1F">
        <w:t xml:space="preserve"> bepaalt dat de aanbestedende overheid zich bij de gunning van overheidsopdrachten baseert op de economisch meest voordelige offerte. </w:t>
      </w:r>
    </w:p>
    <w:p w14:paraId="16C6633C" w14:textId="77777777" w:rsidR="005573E0" w:rsidRPr="000B25E2" w:rsidRDefault="005573E0" w:rsidP="005573E0">
      <w:r w:rsidRPr="3273CE1F">
        <w:t>D</w:t>
      </w:r>
      <w:r>
        <w:t>i</w:t>
      </w:r>
      <w:r w:rsidRPr="3273CE1F">
        <w:t xml:space="preserve">e economisch meest voordelige offerte </w:t>
      </w:r>
      <w:r>
        <w:t>(van</w:t>
      </w:r>
      <w:r w:rsidRPr="3273CE1F">
        <w:t xml:space="preserve">uit het oogpunt van de </w:t>
      </w:r>
      <w:r>
        <w:t>aanbesteder)</w:t>
      </w:r>
      <w:r w:rsidRPr="3273CE1F">
        <w:t xml:space="preserve"> wordt, naar keuze, vastgesteld:</w:t>
      </w:r>
    </w:p>
    <w:p w14:paraId="53D9B2C3" w14:textId="77777777" w:rsidR="005573E0" w:rsidRPr="008C386D" w:rsidRDefault="005573E0">
      <w:pPr>
        <w:pStyle w:val="Lijstnummering"/>
        <w:numPr>
          <w:ilvl w:val="0"/>
          <w:numId w:val="12"/>
        </w:numPr>
        <w:rPr>
          <w:rFonts w:eastAsia="Lato"/>
        </w:rPr>
      </w:pPr>
      <w:r w:rsidRPr="008C386D">
        <w:rPr>
          <w:rFonts w:eastAsia="Lato"/>
        </w:rPr>
        <w:t>op basis van de prijs;</w:t>
      </w:r>
    </w:p>
    <w:p w14:paraId="61ABC4FF" w14:textId="2A1ACCEC" w:rsidR="005573E0" w:rsidRPr="008C386D" w:rsidRDefault="005573E0">
      <w:pPr>
        <w:pStyle w:val="Lijstnummering"/>
        <w:numPr>
          <w:ilvl w:val="0"/>
          <w:numId w:val="12"/>
        </w:numPr>
        <w:rPr>
          <w:rFonts w:eastAsia="Lato"/>
        </w:rPr>
      </w:pPr>
      <w:r w:rsidRPr="008C386D">
        <w:rPr>
          <w:rFonts w:eastAsia="Lato"/>
        </w:rPr>
        <w:t>op basis van de kosten, rekening houdend met de kosteneffectiviteit, zoals</w:t>
      </w:r>
      <w:r w:rsidR="0093368C">
        <w:rPr>
          <w:rFonts w:eastAsia="Lato"/>
        </w:rPr>
        <w:t xml:space="preserve"> bijvoorbeeld</w:t>
      </w:r>
      <w:r w:rsidRPr="008C386D">
        <w:rPr>
          <w:rFonts w:eastAsia="Lato"/>
        </w:rPr>
        <w:t xml:space="preserve"> de levenscycluskosten, overeenkomstig artikel 82 van de wet;</w:t>
      </w:r>
    </w:p>
    <w:p w14:paraId="15B14288" w14:textId="77777777" w:rsidR="005573E0" w:rsidRPr="008C386D" w:rsidRDefault="005573E0">
      <w:pPr>
        <w:pStyle w:val="Lijstnummering"/>
        <w:numPr>
          <w:ilvl w:val="0"/>
          <w:numId w:val="12"/>
        </w:numPr>
        <w:rPr>
          <w:rFonts w:eastAsia="Lato"/>
        </w:rPr>
      </w:pPr>
      <w:r w:rsidRPr="008C386D">
        <w:rPr>
          <w:rFonts w:eastAsia="Lato"/>
        </w:rPr>
        <w:t>rekening houdend met de beste prijs-kwaliteitsverhouding die bepaald wordt op basis van de prijs of de kosten alsook criteria waaronder kwalitatieve, milieu- en/of sociale aspecten, die verband houden met het voorwerp van de betrokken opdracht. Het kan onder meer gaan om de volgende criteria:</w:t>
      </w:r>
    </w:p>
    <w:p w14:paraId="4C52115B" w14:textId="16792061" w:rsidR="005573E0" w:rsidRPr="00570FE4" w:rsidRDefault="005573E0">
      <w:pPr>
        <w:pStyle w:val="Bullet3"/>
        <w:rPr>
          <w:lang w:val="nl-BE"/>
        </w:rPr>
      </w:pPr>
      <w:r w:rsidRPr="00570FE4">
        <w:rPr>
          <w:lang w:val="nl-BE"/>
        </w:rPr>
        <w:t xml:space="preserve">kwaliteit, waaronder </w:t>
      </w:r>
      <w:r w:rsidR="00D77812">
        <w:rPr>
          <w:lang w:val="nl-BE"/>
        </w:rPr>
        <w:t xml:space="preserve">de </w:t>
      </w:r>
      <w:r w:rsidRPr="00570FE4">
        <w:rPr>
          <w:lang w:val="nl-BE"/>
        </w:rPr>
        <w:t>technische verdienste, esthetische en functionele kenmerken, toegankelijkheid, geschiktheid van het ontwerp voor alle gebruikers, sociale, milieu- en innovatieve kenmerken, de handel en de voorwaarden waaronder die plaatsvindt;</w:t>
      </w:r>
    </w:p>
    <w:p w14:paraId="0370A182" w14:textId="71621D61" w:rsidR="005573E0" w:rsidRPr="00570FE4" w:rsidRDefault="005573E0">
      <w:pPr>
        <w:pStyle w:val="Bullet3"/>
        <w:rPr>
          <w:lang w:val="nl-BE"/>
        </w:rPr>
      </w:pPr>
      <w:r w:rsidRPr="00570FE4">
        <w:rPr>
          <w:lang w:val="nl-BE"/>
        </w:rPr>
        <w:t>de organisatie, de kwalificatie</w:t>
      </w:r>
      <w:r w:rsidR="00570FE4" w:rsidRPr="00570FE4">
        <w:rPr>
          <w:lang w:val="nl-BE"/>
        </w:rPr>
        <w:t xml:space="preserve"> </w:t>
      </w:r>
      <w:r w:rsidRPr="00570FE4">
        <w:rPr>
          <w:lang w:val="nl-BE"/>
        </w:rPr>
        <w:t>en de ervaring van het personeel voor de uitvoering van de opdracht</w:t>
      </w:r>
      <w:r w:rsidR="0008093D">
        <w:rPr>
          <w:lang w:val="nl-BE"/>
        </w:rPr>
        <w:t xml:space="preserve"> –</w:t>
      </w:r>
      <w:r w:rsidRPr="00570FE4">
        <w:rPr>
          <w:lang w:val="nl-BE"/>
        </w:rPr>
        <w:t xml:space="preserve"> wanneer de kwaliteit van dat personeel een aanzienlijke invloed kan hebben op het niveau van de uitvoering van de opdracht;</w:t>
      </w:r>
    </w:p>
    <w:p w14:paraId="12F0BCB7" w14:textId="7385C0D0" w:rsidR="005573E0" w:rsidRPr="00570FE4" w:rsidRDefault="005573E0">
      <w:pPr>
        <w:pStyle w:val="Bullet3"/>
        <w:rPr>
          <w:lang w:val="nl-BE"/>
        </w:rPr>
      </w:pPr>
      <w:r w:rsidRPr="00570FE4">
        <w:rPr>
          <w:lang w:val="nl-BE"/>
        </w:rPr>
        <w:t>klantenservice en technische bijstand,</w:t>
      </w:r>
      <w:r w:rsidR="00570FE4" w:rsidRPr="00570FE4">
        <w:rPr>
          <w:lang w:val="nl-BE"/>
        </w:rPr>
        <w:t xml:space="preserve"> </w:t>
      </w:r>
      <w:r w:rsidRPr="00570FE4">
        <w:rPr>
          <w:lang w:val="nl-BE"/>
        </w:rPr>
        <w:t>alsook leveringsvoorwaarden zoals de leveringsdatum, de leveringswijze en de leverings- of uitvoeringstermijn.</w:t>
      </w:r>
    </w:p>
    <w:p w14:paraId="38846CB5" w14:textId="77777777" w:rsidR="005573E0" w:rsidRPr="00A1456C" w:rsidRDefault="005573E0" w:rsidP="005573E0">
      <w:r w:rsidRPr="00A1456C">
        <w:t>Het kostenelement kan eveneens de vorm aannemen van een vaste prijs of vaste kosten op basis waarvan de ondernemers zullen concurreren op kwaliteitscriteria alleen.</w:t>
      </w:r>
    </w:p>
    <w:p w14:paraId="4B4B2662" w14:textId="77777777" w:rsidR="005573E0" w:rsidRPr="000B25E2" w:rsidRDefault="005573E0" w:rsidP="005573E0">
      <w:r w:rsidRPr="5E47B54A">
        <w:t>Gunningscriteria moeten bovendien verband houden met het voorwerp van de opdracht; zij worden zo geacht wanneer zij betrekking hebben op de in het kader van die opdracht te verrichten werken, leveringen of diensten, in alle opzichten en in elk stadium van de levenscyclus ervan, met inbegrip van factoren die te maken hebben met:</w:t>
      </w:r>
    </w:p>
    <w:p w14:paraId="1D0C5425" w14:textId="77777777" w:rsidR="005573E0" w:rsidRPr="00465FC9" w:rsidRDefault="005573E0">
      <w:pPr>
        <w:pStyle w:val="Bullet1"/>
        <w:rPr>
          <w:lang w:val="nl-BE"/>
        </w:rPr>
      </w:pPr>
      <w:r w:rsidRPr="00465FC9">
        <w:rPr>
          <w:lang w:val="nl-BE"/>
        </w:rPr>
        <w:t>het specifieke productieproces, het aanbieden of de verhandeling van die werken, leveringen of diensten, of</w:t>
      </w:r>
    </w:p>
    <w:p w14:paraId="7D04E169" w14:textId="4726EC45" w:rsidR="005573E0" w:rsidRPr="00465FC9" w:rsidRDefault="005573E0">
      <w:pPr>
        <w:pStyle w:val="Bullet1"/>
        <w:rPr>
          <w:lang w:val="nl-BE"/>
        </w:rPr>
      </w:pPr>
      <w:r w:rsidRPr="00465FC9">
        <w:rPr>
          <w:lang w:val="nl-BE"/>
        </w:rPr>
        <w:t xml:space="preserve">een specifiek proces voor een andere fase van de levenscyclus ervan, zelfs wanneer die factoren </w:t>
      </w:r>
      <w:r w:rsidR="0087766F">
        <w:rPr>
          <w:lang w:val="nl-BE"/>
        </w:rPr>
        <w:t xml:space="preserve">geen </w:t>
      </w:r>
      <w:r w:rsidRPr="00465FC9">
        <w:rPr>
          <w:lang w:val="nl-BE"/>
        </w:rPr>
        <w:t>deel uitmaken van de materiële basis ervan.</w:t>
      </w:r>
    </w:p>
    <w:p w14:paraId="3F486E68" w14:textId="4BFCFA90" w:rsidR="005573E0" w:rsidRDefault="005573E0" w:rsidP="005573E0">
      <w:r w:rsidRPr="002E0558">
        <w:t xml:space="preserve">Gunningscriteria mogen er niet toe leiden dat de </w:t>
      </w:r>
      <w:r w:rsidR="000E24B1">
        <w:t>aanbesteder</w:t>
      </w:r>
      <w:r w:rsidRPr="002E0558">
        <w:t xml:space="preserve"> onbeperkte keuzevrijheid heeft. Ze </w:t>
      </w:r>
      <w:r w:rsidRPr="00AF6967">
        <w:t>waarborgen de mogelijkheid van daadwerkelijke mededinging</w:t>
      </w:r>
      <w:r w:rsidRPr="002E0558">
        <w:t xml:space="preserve"> en gaan vergezeld van specificaties aan de hand waarvan de door de inschrijvers verstrekte informatie daadwerkelijk kan worden getoetst om te beoordelen in welke mate de offertes aan de gunningscriteria voldoen. </w:t>
      </w:r>
    </w:p>
    <w:p w14:paraId="58C06FF6" w14:textId="77777777" w:rsidR="005573E0" w:rsidRDefault="005573E0" w:rsidP="005573E0">
      <w:r w:rsidRPr="002E0558">
        <w:t>In geval van twijfel controleert de aanbestedende overheid de juistheid van de door de inschrijvers verstrekte informatie en bewijsmiddelen.</w:t>
      </w:r>
      <w:r>
        <w:t xml:space="preserve"> </w:t>
      </w:r>
    </w:p>
    <w:p w14:paraId="4E49359A" w14:textId="77777777" w:rsidR="00437C23" w:rsidRDefault="00437C23">
      <w:pPr>
        <w:pStyle w:val="Kop2"/>
      </w:pPr>
      <w:bookmarkStart w:id="152" w:name="_Toc135839993"/>
      <w:bookmarkStart w:id="153" w:name="_Toc150870598"/>
      <w:r>
        <w:t>Toelichting</w:t>
      </w:r>
      <w:bookmarkEnd w:id="152"/>
      <w:bookmarkEnd w:id="153"/>
    </w:p>
    <w:p w14:paraId="5F478A14" w14:textId="76EEAEDA" w:rsidR="00A81A3A" w:rsidRDefault="00A81A3A" w:rsidP="00A81A3A">
      <w:r w:rsidRPr="3273CE1F">
        <w:t>Overheden moeten ondernemers op gelijke en niet-discriminerende wijze behandelen en op een transparante</w:t>
      </w:r>
      <w:r w:rsidR="009620C2">
        <w:t>,</w:t>
      </w:r>
      <w:r w:rsidRPr="3273CE1F">
        <w:t xml:space="preserve"> proportionele wijze </w:t>
      </w:r>
      <w:r>
        <w:t>te werk gaan</w:t>
      </w:r>
      <w:r w:rsidRPr="3273CE1F">
        <w:t xml:space="preserve">. Om tot een objectieve vergelijking van de offertes te komen en dus daadwerkelijke mededinging te </w:t>
      </w:r>
      <w:r>
        <w:t>waarborgen</w:t>
      </w:r>
      <w:r w:rsidRPr="3273CE1F">
        <w:t xml:space="preserve">, </w:t>
      </w:r>
      <w:r w:rsidRPr="001D5721">
        <w:rPr>
          <w:b/>
          <w:bCs/>
        </w:rPr>
        <w:t xml:space="preserve">moet de gunning van de opdracht </w:t>
      </w:r>
      <w:r w:rsidR="00357CA0">
        <w:rPr>
          <w:b/>
          <w:bCs/>
        </w:rPr>
        <w:t xml:space="preserve">dus </w:t>
      </w:r>
      <w:r w:rsidRPr="001D5721">
        <w:rPr>
          <w:b/>
          <w:bCs/>
        </w:rPr>
        <w:t>gebeuren op basis van objectieve criteria die ervoor zorgen dat de beginselen inzake transparantie, non-discriminatie en gelijke behandeling in acht worden genomen</w:t>
      </w:r>
      <w:r w:rsidRPr="3273CE1F">
        <w:t>. In de praktijk baseert de aanbesteder zich bij de gunning steeds op de economisch meest voordelige offerte.</w:t>
      </w:r>
    </w:p>
    <w:p w14:paraId="2D5C751E" w14:textId="4B7A9D64" w:rsidR="00F43DBE" w:rsidRDefault="003C2E59">
      <w:pPr>
        <w:pStyle w:val="Kop3"/>
      </w:pPr>
      <w:bookmarkStart w:id="154" w:name="_Toc135839994"/>
      <w:bookmarkStart w:id="155" w:name="_Toc150870599"/>
      <w:r>
        <w:t>Gunningscriteria</w:t>
      </w:r>
      <w:bookmarkEnd w:id="154"/>
      <w:bookmarkEnd w:id="155"/>
    </w:p>
    <w:p w14:paraId="775EFB0B" w14:textId="77777777" w:rsidR="007E0C2C" w:rsidRDefault="007E0C2C" w:rsidP="00DF5A30">
      <w:r w:rsidRPr="1260C83A">
        <w:t>De</w:t>
      </w:r>
      <w:r>
        <w:t xml:space="preserve"> aanbesteder moet de</w:t>
      </w:r>
      <w:r w:rsidRPr="1260C83A">
        <w:t xml:space="preserve"> nodige transparantie </w:t>
      </w:r>
      <w:r>
        <w:t>aan de dag leggen</w:t>
      </w:r>
      <w:r w:rsidRPr="1260C83A">
        <w:t xml:space="preserve"> zodat iedere inschrijver redelijkerwijs kan kennisnemen van de criteria en regelingen die bij de voorbereiding van de gunning van de opdracht worden toegepast</w:t>
      </w:r>
      <w:r>
        <w:t>. Dat</w:t>
      </w:r>
      <w:r w:rsidRPr="1260C83A">
        <w:t xml:space="preserve"> om te garanderen dat bij de gunning het beginsel van gelijke behandeling wordt </w:t>
      </w:r>
      <w:r>
        <w:t>toegepast</w:t>
      </w:r>
      <w:r w:rsidRPr="1260C83A">
        <w:t xml:space="preserve">. </w:t>
      </w:r>
    </w:p>
    <w:p w14:paraId="11D1C5EB" w14:textId="77777777" w:rsidR="007E0C2C" w:rsidRDefault="007E0C2C" w:rsidP="00DF5A30">
      <w:r w:rsidRPr="5BCC2480">
        <w:lastRenderedPageBreak/>
        <w:t>Bijgevolg is het onder andere verplicht</w:t>
      </w:r>
      <w:r>
        <w:t xml:space="preserve"> om</w:t>
      </w:r>
      <w:r w:rsidRPr="5BCC2480">
        <w:t xml:space="preserve">, voor de opdrachten die het bedrag bereiken voor de Europese bekendmaking, de gunningscriteria van de opdracht en het relatieve gewicht, eventueel uitgedrukt binnen een vork, ervan te vermelden in de aankondiging of in de opdrachtdocumenten. </w:t>
      </w:r>
    </w:p>
    <w:p w14:paraId="37A271A8" w14:textId="3C926F03" w:rsidR="007E0C2C" w:rsidRDefault="007E0C2C" w:rsidP="00DF5A30">
      <w:r w:rsidRPr="5BCC2480">
        <w:t>Dat relatieve gewicht kan</w:t>
      </w:r>
      <w:r w:rsidR="007A0777">
        <w:t xml:space="preserve"> dus</w:t>
      </w:r>
      <w:r w:rsidRPr="5BCC2480">
        <w:t xml:space="preserve"> worden uitgedrukt binnen een vork met een passend verschil tussen het minimum en het maximum. </w:t>
      </w:r>
      <w:r>
        <w:t>Een dergelijke</w:t>
      </w:r>
      <w:r w:rsidRPr="5BCC2480">
        <w:t xml:space="preserve"> vork is echter een zeer delicaat instrument omdat het tot willekeur bij de evaluatie kan leiden</w:t>
      </w:r>
      <w:r w:rsidR="00094BE6">
        <w:t xml:space="preserve">, </w:t>
      </w:r>
      <w:r>
        <w:t>het gebruik ervan kan enkel in weloverwogen gevallen</w:t>
      </w:r>
      <w:r w:rsidRPr="5BCC2480">
        <w:t xml:space="preserve">. Wanneer weging om objectieve redenen niet mogelijk is, worden de criteria in dalende volgorde van belangrijkheid vermeld. </w:t>
      </w:r>
    </w:p>
    <w:p w14:paraId="6DEF1717" w14:textId="0441E24A" w:rsidR="007E0C2C" w:rsidRDefault="007E0C2C" w:rsidP="00DF5A30">
      <w:r w:rsidRPr="5BCC2480">
        <w:t xml:space="preserve">Voor de opdrachten </w:t>
      </w:r>
      <w:r>
        <w:t xml:space="preserve">met een waarde </w:t>
      </w:r>
      <w:r w:rsidRPr="5BCC2480">
        <w:t xml:space="preserve">lager dan de </w:t>
      </w:r>
      <w:r>
        <w:t>drempelbedragen voor Europese bekendmaking</w:t>
      </w:r>
      <w:r w:rsidRPr="5BCC2480">
        <w:t xml:space="preserve">, specificeert de </w:t>
      </w:r>
      <w:r w:rsidR="00FE7584">
        <w:t>aanbesteder</w:t>
      </w:r>
      <w:r w:rsidRPr="5BCC2480">
        <w:t xml:space="preserve"> ofwel het relatieve gewicht van elk criteria, ofwel de dalende volgorde van belangrijkheid ervan. Zo niet hebben de gunningscriteria dezelfde waarde. </w:t>
      </w:r>
    </w:p>
    <w:p w14:paraId="60798823" w14:textId="1E8ECA53" w:rsidR="007E0C2C" w:rsidRDefault="007E0C2C" w:rsidP="00DF5A30">
      <w:r w:rsidRPr="5BCC2480">
        <w:t>Er kan enkel, mits behoorlijk gemotiveerd, worden afgeweken van de verplichting tot vermelding van het relatieve gewicht</w:t>
      </w:r>
      <w:r>
        <w:t>.</w:t>
      </w:r>
      <w:r w:rsidRPr="5BCC2480">
        <w:t xml:space="preserve"> </w:t>
      </w:r>
      <w:r>
        <w:t xml:space="preserve">Namelijk </w:t>
      </w:r>
      <w:r w:rsidRPr="5BCC2480">
        <w:t>indien het relatieve gewicht, met name wegens de complexiteit van de opdracht, niet vooraf te bepalen is. In die gevallen moeten de criteria evenwel in dalende volgorde van belangrijkheid worden vermeld</w:t>
      </w:r>
      <w:r>
        <w:t>.</w:t>
      </w:r>
    </w:p>
    <w:p w14:paraId="55646B67" w14:textId="77777777" w:rsidR="00E33272" w:rsidRPr="00ED3A47" w:rsidRDefault="00E33272" w:rsidP="00E33272">
      <w:pPr>
        <w:pStyle w:val="Kop4"/>
        <w:rPr>
          <w:rFonts w:eastAsia="Lato"/>
          <w:lang w:val="nl-BE"/>
        </w:rPr>
      </w:pPr>
      <w:r w:rsidRPr="00ED3A47">
        <w:rPr>
          <w:rFonts w:eastAsia="Lato"/>
          <w:lang w:val="nl-BE"/>
        </w:rPr>
        <w:t>Onderscheid tussen gunningscriteria en selectiecriteria</w:t>
      </w:r>
    </w:p>
    <w:p w14:paraId="00CA6FA7" w14:textId="466A37BE" w:rsidR="00ED3A47" w:rsidRDefault="00B23D70" w:rsidP="00ED3A47">
      <w:pPr>
        <w:rPr>
          <w:rFonts w:eastAsia="Lato" w:cs="Lato"/>
          <w:color w:val="000000" w:themeColor="text1"/>
        </w:rPr>
      </w:pPr>
      <w:r>
        <w:rPr>
          <w:rFonts w:eastAsia="Lato" w:cs="Lato"/>
          <w:color w:val="000000" w:themeColor="text1"/>
        </w:rPr>
        <w:t>Onder</w:t>
      </w:r>
      <w:r w:rsidR="00ED3A47" w:rsidRPr="5E47B54A">
        <w:rPr>
          <w:rFonts w:eastAsia="Lato" w:cs="Lato"/>
          <w:color w:val="000000" w:themeColor="text1"/>
        </w:rPr>
        <w:t xml:space="preserve"> </w:t>
      </w:r>
      <w:r w:rsidR="00ED3A47" w:rsidRPr="001A18AD">
        <w:rPr>
          <w:rFonts w:eastAsia="Lato" w:cs="Lato"/>
          <w:color w:val="000000" w:themeColor="text1"/>
        </w:rPr>
        <w:t>principe 8 werden</w:t>
      </w:r>
      <w:r w:rsidR="00ED3A47" w:rsidRPr="5E47B54A">
        <w:rPr>
          <w:rFonts w:eastAsia="Lato" w:cs="Lato"/>
          <w:color w:val="000000" w:themeColor="text1"/>
        </w:rPr>
        <w:t xml:space="preserve"> de selectiecriteria reeds besproken. In de regel moet een strikte scheiding worden gemaakt tussen selectie- en gunningscriteria. De wetgever voorziet hier wel een  uitzondering en bepaalt in artikel 81 van de wet dat de organisatie, de kwalificatie en de ervaring van het personeel voor de uitvoering van de opdracht, </w:t>
      </w:r>
      <w:r w:rsidR="00F61851">
        <w:rPr>
          <w:rFonts w:eastAsia="Lato" w:cs="Lato"/>
          <w:color w:val="000000" w:themeColor="text1"/>
        </w:rPr>
        <w:t>kunnen</w:t>
      </w:r>
      <w:r w:rsidR="00F61851" w:rsidRPr="5E47B54A">
        <w:rPr>
          <w:rFonts w:eastAsia="Lato" w:cs="Lato"/>
          <w:color w:val="000000" w:themeColor="text1"/>
        </w:rPr>
        <w:t xml:space="preserve"> </w:t>
      </w:r>
      <w:r w:rsidR="00ED3A47" w:rsidRPr="5E47B54A">
        <w:rPr>
          <w:rFonts w:eastAsia="Lato" w:cs="Lato"/>
          <w:color w:val="000000" w:themeColor="text1"/>
        </w:rPr>
        <w:t>worden aangewend als gunningscriterium wanneer de kwaliteit</w:t>
      </w:r>
      <w:r w:rsidR="00815021">
        <w:rPr>
          <w:rFonts w:eastAsia="Lato" w:cs="Lato"/>
          <w:color w:val="000000" w:themeColor="text1"/>
        </w:rPr>
        <w:t xml:space="preserve"> van</w:t>
      </w:r>
      <w:r w:rsidR="00ED3A47" w:rsidRPr="5E47B54A">
        <w:rPr>
          <w:rFonts w:eastAsia="Lato" w:cs="Lato"/>
          <w:color w:val="000000" w:themeColor="text1"/>
        </w:rPr>
        <w:t xml:space="preserve"> </w:t>
      </w:r>
      <w:r w:rsidR="00631750">
        <w:rPr>
          <w:rFonts w:eastAsia="Lato" w:cs="Lato"/>
          <w:color w:val="000000" w:themeColor="text1"/>
        </w:rPr>
        <w:t xml:space="preserve">dat personeel </w:t>
      </w:r>
      <w:r w:rsidR="00ED3A47" w:rsidRPr="5E47B54A">
        <w:rPr>
          <w:rFonts w:eastAsia="Lato" w:cs="Lato"/>
          <w:color w:val="000000" w:themeColor="text1"/>
        </w:rPr>
        <w:t>een aanzienlijke invloed kan hebben op het niveau van de uitvoering</w:t>
      </w:r>
      <w:r w:rsidR="00631750">
        <w:rPr>
          <w:rFonts w:eastAsia="Lato" w:cs="Lato"/>
          <w:color w:val="000000" w:themeColor="text1"/>
        </w:rPr>
        <w:t xml:space="preserve"> van de opdracht</w:t>
      </w:r>
      <w:r w:rsidR="00ED3A47" w:rsidRPr="5E47B54A">
        <w:rPr>
          <w:rFonts w:eastAsia="Lato" w:cs="Lato"/>
          <w:color w:val="000000" w:themeColor="text1"/>
        </w:rPr>
        <w:t xml:space="preserve">. De overheid moet in een dergelijk geval aantonen dat de ervaring van het personeel relevant en nodig is omwille van de specifieke vereisten van de opdracht, bijvoorbeeld omdat het noodzakelijk is dat de opdracht wordt uitgevoerd door gespecialiseerde mensen met een bijzondere ervaring. Dat kan bijvoorbeeld het geval zijn bij opdrachten </w:t>
      </w:r>
      <w:r w:rsidR="001E3DA9">
        <w:rPr>
          <w:rFonts w:eastAsia="Lato" w:cs="Lato"/>
          <w:color w:val="000000" w:themeColor="text1"/>
        </w:rPr>
        <w:t>voor</w:t>
      </w:r>
      <w:r w:rsidR="001E3DA9" w:rsidRPr="5E47B54A">
        <w:rPr>
          <w:rFonts w:eastAsia="Lato" w:cs="Lato"/>
          <w:color w:val="000000" w:themeColor="text1"/>
        </w:rPr>
        <w:t xml:space="preserve"> </w:t>
      </w:r>
      <w:r w:rsidR="00ED3A47" w:rsidRPr="5E47B54A">
        <w:rPr>
          <w:rFonts w:eastAsia="Lato" w:cs="Lato"/>
          <w:color w:val="000000" w:themeColor="text1"/>
        </w:rPr>
        <w:t>intellectuele diensten zoals adviesverlening of architectuur</w:t>
      </w:r>
      <w:r w:rsidR="00323298">
        <w:rPr>
          <w:rFonts w:eastAsia="Lato" w:cs="Lato"/>
          <w:color w:val="000000" w:themeColor="text1"/>
        </w:rPr>
        <w:t xml:space="preserve">- en stedenbouwkundige </w:t>
      </w:r>
      <w:r w:rsidR="00ED3A47" w:rsidRPr="5E47B54A">
        <w:rPr>
          <w:rFonts w:eastAsia="Lato" w:cs="Lato"/>
          <w:color w:val="000000" w:themeColor="text1"/>
        </w:rPr>
        <w:t xml:space="preserve">opdrachten. </w:t>
      </w:r>
      <w:r w:rsidR="00EE3386" w:rsidRPr="00EE3386">
        <w:rPr>
          <w:rFonts w:eastAsia="Lato" w:cs="Lato"/>
          <w:color w:val="000000" w:themeColor="text1"/>
        </w:rPr>
        <w:t xml:space="preserve">Bij een consultancy-opdracht </w:t>
      </w:r>
      <w:r w:rsidR="00EE3386">
        <w:rPr>
          <w:rFonts w:eastAsia="Lato" w:cs="Lato"/>
          <w:color w:val="000000" w:themeColor="text1"/>
        </w:rPr>
        <w:t>zou een</w:t>
      </w:r>
      <w:r w:rsidR="00EE3386" w:rsidRPr="00EE3386">
        <w:rPr>
          <w:rFonts w:eastAsia="Lato" w:cs="Lato"/>
          <w:color w:val="000000" w:themeColor="text1"/>
        </w:rPr>
        <w:t xml:space="preserve"> inschrijver </w:t>
      </w:r>
      <w:r w:rsidR="00D140A6">
        <w:rPr>
          <w:rFonts w:eastAsia="Lato" w:cs="Lato"/>
          <w:color w:val="000000" w:themeColor="text1"/>
        </w:rPr>
        <w:t xml:space="preserve">immers </w:t>
      </w:r>
      <w:r w:rsidR="00EE3386" w:rsidRPr="00EE3386">
        <w:rPr>
          <w:rFonts w:eastAsia="Lato" w:cs="Lato"/>
          <w:color w:val="000000" w:themeColor="text1"/>
        </w:rPr>
        <w:t>bij het toetsen van de kwalitatieve selectiecriteria uitmuntende senior consultants</w:t>
      </w:r>
      <w:r w:rsidR="00C93E70">
        <w:rPr>
          <w:rFonts w:eastAsia="Lato" w:cs="Lato"/>
          <w:color w:val="000000" w:themeColor="text1"/>
        </w:rPr>
        <w:t xml:space="preserve"> kunnen vermelden</w:t>
      </w:r>
      <w:r w:rsidR="00EE3386" w:rsidRPr="00EE3386">
        <w:rPr>
          <w:rFonts w:eastAsia="Lato" w:cs="Lato"/>
          <w:color w:val="000000" w:themeColor="text1"/>
        </w:rPr>
        <w:t xml:space="preserve"> (naast minder ervaren juniors) en daarvoor een uitstekende score </w:t>
      </w:r>
      <w:r w:rsidR="008E73A6">
        <w:rPr>
          <w:rFonts w:eastAsia="Lato" w:cs="Lato"/>
          <w:color w:val="000000" w:themeColor="text1"/>
        </w:rPr>
        <w:t>be</w:t>
      </w:r>
      <w:r w:rsidR="00EE3386" w:rsidRPr="00EE3386">
        <w:rPr>
          <w:rFonts w:eastAsia="Lato" w:cs="Lato"/>
          <w:color w:val="000000" w:themeColor="text1"/>
        </w:rPr>
        <w:t xml:space="preserve">halen. </w:t>
      </w:r>
      <w:r w:rsidR="00FF18FB">
        <w:rPr>
          <w:rFonts w:eastAsia="Lato" w:cs="Lato"/>
          <w:color w:val="000000" w:themeColor="text1"/>
        </w:rPr>
        <w:t>Zonder bijkomende voorwaarde zou de inschrijver</w:t>
      </w:r>
      <w:r w:rsidR="00EE3386" w:rsidRPr="00EE3386">
        <w:rPr>
          <w:rFonts w:eastAsia="Lato" w:cs="Lato"/>
          <w:color w:val="000000" w:themeColor="text1"/>
        </w:rPr>
        <w:t xml:space="preserve"> echter bij de uitvoering van de opdracht allemaal junior consultants kunnen inzetten</w:t>
      </w:r>
      <w:r w:rsidR="00FF18FB">
        <w:rPr>
          <w:rFonts w:eastAsia="Lato" w:cs="Lato"/>
          <w:color w:val="000000" w:themeColor="text1"/>
        </w:rPr>
        <w:t xml:space="preserve">, </w:t>
      </w:r>
      <w:r w:rsidR="00ED3A47" w:rsidRPr="5E47B54A">
        <w:rPr>
          <w:rFonts w:eastAsia="Lato" w:cs="Lato"/>
          <w:color w:val="000000" w:themeColor="text1"/>
        </w:rPr>
        <w:t xml:space="preserve">waardoor het eerlijke verloop van de mededinging in het gedrang komt. Via de gunningscriteria kan dat risico opgevangen worden. </w:t>
      </w:r>
    </w:p>
    <w:p w14:paraId="17D1157A" w14:textId="01B751A2" w:rsidR="00174FB3" w:rsidRDefault="00174FB3" w:rsidP="00174FB3">
      <w:pPr>
        <w:rPr>
          <w:rFonts w:eastAsia="Lato" w:cs="Lato"/>
          <w:color w:val="000000" w:themeColor="text1"/>
        </w:rPr>
      </w:pPr>
      <w:r>
        <w:rPr>
          <w:rFonts w:eastAsia="Lato" w:cs="Lato"/>
          <w:color w:val="000000" w:themeColor="text1"/>
        </w:rPr>
        <w:t>Ter verduidelijking: zowel de selectiecriteria als de gunningscriteria kunnen dus slaan op het aspect “personeel”, maar eenzelfde personeelsvereiste kan nooit</w:t>
      </w:r>
      <w:r w:rsidR="001B3CC4">
        <w:rPr>
          <w:rFonts w:eastAsia="Lato" w:cs="Lato"/>
          <w:color w:val="000000" w:themeColor="text1"/>
        </w:rPr>
        <w:t xml:space="preserve"> </w:t>
      </w:r>
      <w:r w:rsidR="00277350">
        <w:rPr>
          <w:rFonts w:eastAsia="Lato" w:cs="Lato"/>
          <w:color w:val="000000" w:themeColor="text1"/>
        </w:rPr>
        <w:t>in een opdracht</w:t>
      </w:r>
      <w:r>
        <w:rPr>
          <w:rFonts w:eastAsia="Lato" w:cs="Lato"/>
          <w:color w:val="000000" w:themeColor="text1"/>
        </w:rPr>
        <w:t xml:space="preserve"> en een selectiecriterium en een gunningscriterium zijn.</w:t>
      </w:r>
    </w:p>
    <w:p w14:paraId="7129FE4E" w14:textId="78BFCF41" w:rsidR="00ED3A47" w:rsidRDefault="00ED3A47" w:rsidP="00ED3A47">
      <w:pPr>
        <w:rPr>
          <w:rFonts w:eastAsia="Lato" w:cs="Lato"/>
          <w:color w:val="000000" w:themeColor="text1"/>
        </w:rPr>
      </w:pPr>
      <w:r w:rsidRPr="558C568B">
        <w:rPr>
          <w:rFonts w:eastAsia="Lato" w:cs="Lato"/>
          <w:color w:val="000000" w:themeColor="text1"/>
        </w:rPr>
        <w:t>De aanbesteder kan er</w:t>
      </w:r>
      <w:r>
        <w:rPr>
          <w:rFonts w:eastAsia="Lato" w:cs="Lato"/>
          <w:color w:val="000000" w:themeColor="text1"/>
        </w:rPr>
        <w:t xml:space="preserve"> </w:t>
      </w:r>
      <w:r w:rsidRPr="558C568B">
        <w:rPr>
          <w:rFonts w:eastAsia="Lato" w:cs="Lato"/>
          <w:color w:val="000000" w:themeColor="text1"/>
        </w:rPr>
        <w:t xml:space="preserve">van uitgaan dat aan het vereiste onderscheid wordt voldaan wanneer bij de vereisten van technische en beroepsbekwaamheid wordt gevraagd naar de onderwijs- en beroepskwalificaties van de ondernemer, en dus het personeel dat </w:t>
      </w:r>
      <w:r w:rsidRPr="558C568B">
        <w:rPr>
          <w:rFonts w:eastAsia="Lato" w:cs="Lato"/>
          <w:i/>
          <w:iCs/>
          <w:color w:val="000000" w:themeColor="text1"/>
        </w:rPr>
        <w:t xml:space="preserve">kan </w:t>
      </w:r>
      <w:r w:rsidRPr="558C568B">
        <w:rPr>
          <w:rFonts w:eastAsia="Lato" w:cs="Lato"/>
          <w:color w:val="000000" w:themeColor="text1"/>
        </w:rPr>
        <w:t xml:space="preserve">worden ingezet, terwijl het gunningscriterium specifiek peilt naar </w:t>
      </w:r>
      <w:r w:rsidR="000278C5">
        <w:rPr>
          <w:rFonts w:eastAsia="Lato" w:cs="Lato"/>
          <w:color w:val="000000" w:themeColor="text1"/>
        </w:rPr>
        <w:t>de organisatie</w:t>
      </w:r>
      <w:r w:rsidR="0043398F">
        <w:rPr>
          <w:rFonts w:eastAsia="Lato" w:cs="Lato"/>
          <w:color w:val="000000" w:themeColor="text1"/>
        </w:rPr>
        <w:t xml:space="preserve">, kwalificatie en de ervaring van </w:t>
      </w:r>
      <w:r w:rsidRPr="558C568B">
        <w:rPr>
          <w:rFonts w:eastAsia="Lato" w:cs="Lato"/>
          <w:color w:val="000000" w:themeColor="text1"/>
        </w:rPr>
        <w:t>het personeel dat</w:t>
      </w:r>
      <w:r w:rsidR="0043398F">
        <w:rPr>
          <w:rFonts w:eastAsia="Lato" w:cs="Lato"/>
          <w:color w:val="000000" w:themeColor="text1"/>
        </w:rPr>
        <w:t xml:space="preserve"> voor de</w:t>
      </w:r>
      <w:r w:rsidR="009F372C">
        <w:rPr>
          <w:rFonts w:eastAsia="Lato" w:cs="Lato"/>
          <w:color w:val="000000" w:themeColor="text1"/>
        </w:rPr>
        <w:t xml:space="preserve"> uitvoering van de</w:t>
      </w:r>
      <w:r w:rsidR="0043398F">
        <w:rPr>
          <w:rFonts w:eastAsia="Lato" w:cs="Lato"/>
          <w:color w:val="000000" w:themeColor="text1"/>
        </w:rPr>
        <w:t xml:space="preserve"> concrete opdracht</w:t>
      </w:r>
      <w:r w:rsidRPr="558C568B">
        <w:rPr>
          <w:rFonts w:eastAsia="Lato" w:cs="Lato"/>
          <w:color w:val="000000" w:themeColor="text1"/>
        </w:rPr>
        <w:t xml:space="preserve"> </w:t>
      </w:r>
      <w:r w:rsidRPr="558C568B">
        <w:rPr>
          <w:rFonts w:eastAsia="Lato" w:cs="Lato"/>
          <w:i/>
          <w:iCs/>
          <w:color w:val="000000" w:themeColor="text1"/>
        </w:rPr>
        <w:t xml:space="preserve">zal </w:t>
      </w:r>
      <w:r w:rsidRPr="558C568B">
        <w:rPr>
          <w:rFonts w:eastAsia="Lato" w:cs="Lato"/>
          <w:color w:val="000000" w:themeColor="text1"/>
        </w:rPr>
        <w:t>worden</w:t>
      </w:r>
      <w:r w:rsidR="00EA3DD7" w:rsidRPr="00EA3DD7">
        <w:rPr>
          <w:rFonts w:eastAsia="Lato" w:cs="Lato"/>
          <w:color w:val="000000" w:themeColor="text1"/>
        </w:rPr>
        <w:t xml:space="preserve"> </w:t>
      </w:r>
      <w:r w:rsidR="00EA3DD7" w:rsidRPr="558C568B">
        <w:rPr>
          <w:rFonts w:eastAsia="Lato" w:cs="Lato"/>
          <w:color w:val="000000" w:themeColor="text1"/>
        </w:rPr>
        <w:t>ingezet</w:t>
      </w:r>
      <w:r w:rsidRPr="558C568B">
        <w:rPr>
          <w:rFonts w:eastAsia="Lato" w:cs="Lato"/>
          <w:color w:val="000000" w:themeColor="text1"/>
        </w:rPr>
        <w:t xml:space="preserve">. </w:t>
      </w:r>
    </w:p>
    <w:p w14:paraId="730DEFB8" w14:textId="77777777" w:rsidR="00ED3A47" w:rsidRDefault="00ED3A47" w:rsidP="00ED3A47">
      <w:pPr>
        <w:rPr>
          <w:rFonts w:eastAsia="Lato" w:cs="Lato"/>
          <w:color w:val="000000" w:themeColor="text1"/>
        </w:rPr>
      </w:pPr>
      <w:r w:rsidRPr="007810B8">
        <w:rPr>
          <w:rFonts w:eastAsia="Lato" w:cs="Lato"/>
          <w:b/>
          <w:bCs/>
          <w:color w:val="000000" w:themeColor="text1"/>
        </w:rPr>
        <w:t>Het selectiecriterium peilt met andere woorden naar de hoedanigheid van de inschrijver op zich, los van de opdracht, terwijl het gunningscriterium de specifieke uitvoering van de opdracht voor ogen heeft</w:t>
      </w:r>
      <w:r w:rsidRPr="008D7E5C">
        <w:rPr>
          <w:rFonts w:eastAsia="Lato" w:cs="Lato"/>
          <w:b/>
          <w:bCs/>
          <w:color w:val="000000" w:themeColor="text1"/>
        </w:rPr>
        <w:t>.</w:t>
      </w:r>
      <w:r w:rsidRPr="558C568B">
        <w:rPr>
          <w:rFonts w:eastAsia="Lato" w:cs="Lato"/>
          <w:color w:val="000000" w:themeColor="text1"/>
        </w:rPr>
        <w:t xml:space="preserve"> </w:t>
      </w:r>
    </w:p>
    <w:p w14:paraId="613B208C" w14:textId="4A10B3BF" w:rsidR="00DF5A30" w:rsidRDefault="00ED3A47" w:rsidP="00ED3A47">
      <w:pPr>
        <w:rPr>
          <w:rFonts w:eastAsia="Lato" w:cs="Lato"/>
          <w:color w:val="000000" w:themeColor="text1"/>
        </w:rPr>
      </w:pPr>
      <w:r w:rsidRPr="558C568B">
        <w:rPr>
          <w:rFonts w:eastAsia="Lato" w:cs="Lato"/>
          <w:color w:val="000000" w:themeColor="text1"/>
        </w:rPr>
        <w:t>De gunningscriteria zijn</w:t>
      </w:r>
      <w:r>
        <w:rPr>
          <w:rFonts w:eastAsia="Lato" w:cs="Lato"/>
          <w:color w:val="000000" w:themeColor="text1"/>
        </w:rPr>
        <w:t xml:space="preserve"> dus</w:t>
      </w:r>
      <w:r w:rsidRPr="558C568B">
        <w:rPr>
          <w:rFonts w:eastAsia="Lato" w:cs="Lato"/>
          <w:color w:val="000000" w:themeColor="text1"/>
        </w:rPr>
        <w:t xml:space="preserve"> hét instrument voor de aanbesteder om na te gaan hoe de offerte scoort ten opzichte van de technische beschrijving en</w:t>
      </w:r>
      <w:r w:rsidR="00BF563C">
        <w:rPr>
          <w:rFonts w:eastAsia="Lato" w:cs="Lato"/>
          <w:color w:val="000000" w:themeColor="text1"/>
        </w:rPr>
        <w:t xml:space="preserve"> de</w:t>
      </w:r>
      <w:r w:rsidRPr="558C568B">
        <w:rPr>
          <w:rFonts w:eastAsia="Lato" w:cs="Lato"/>
          <w:color w:val="000000" w:themeColor="text1"/>
        </w:rPr>
        <w:t xml:space="preserve"> minimumeisen in het bestek of de opdrachtdocumenten</w:t>
      </w:r>
      <w:r w:rsidR="00215C84">
        <w:rPr>
          <w:rFonts w:eastAsia="Lato" w:cs="Lato"/>
          <w:color w:val="000000" w:themeColor="text1"/>
        </w:rPr>
        <w:t>.</w:t>
      </w:r>
    </w:p>
    <w:p w14:paraId="300CF98A" w14:textId="77777777" w:rsidR="00215C84" w:rsidRPr="00465FC9" w:rsidRDefault="00215C84" w:rsidP="00215C84">
      <w:pPr>
        <w:pStyle w:val="Kop4"/>
        <w:rPr>
          <w:rFonts w:eastAsia="Lato"/>
          <w:lang w:val="nl-BE"/>
        </w:rPr>
      </w:pPr>
      <w:r w:rsidRPr="00465FC9">
        <w:rPr>
          <w:rFonts w:eastAsia="Lato"/>
          <w:lang w:val="nl-BE"/>
        </w:rPr>
        <w:t>Subgunningscriteria</w:t>
      </w:r>
    </w:p>
    <w:p w14:paraId="7CCDFDDC" w14:textId="4BA117A8" w:rsidR="00215C84" w:rsidRDefault="00215C84" w:rsidP="00215C84">
      <w:pPr>
        <w:rPr>
          <w:rFonts w:eastAsia="Lato" w:cs="Lato"/>
          <w:color w:val="000000" w:themeColor="text1"/>
        </w:rPr>
      </w:pPr>
      <w:r w:rsidRPr="5E47B54A">
        <w:rPr>
          <w:rFonts w:eastAsia="Lato" w:cs="Lato"/>
          <w:color w:val="000000" w:themeColor="text1"/>
        </w:rPr>
        <w:t>De aanbesteder kan een gunningscriterium onderverdelen in subgunningscriteria, met als doel om tot een meer verfijnde toetsing te komen van de offertes aan h</w:t>
      </w:r>
      <w:r w:rsidR="00E842E6">
        <w:rPr>
          <w:rFonts w:eastAsia="Lato" w:cs="Lato"/>
          <w:color w:val="000000" w:themeColor="text1"/>
        </w:rPr>
        <w:t>et</w:t>
      </w:r>
      <w:r w:rsidRPr="5E47B54A">
        <w:rPr>
          <w:rFonts w:eastAsia="Lato" w:cs="Lato"/>
          <w:color w:val="000000" w:themeColor="text1"/>
        </w:rPr>
        <w:t xml:space="preserve"> gunningscriterium in kwestie. Bijvoorbeeld: het criterium “laagste kosten” kan worden onderverdeeld in onderhoudskosten, externe milieukosten, het gebruik van duurzame grondstoffen, etc. Bij de beste prijs-kwaliteitsverhouding kan dan weer verwezen worden naar zowel een aantal types kosten als </w:t>
      </w:r>
      <w:r w:rsidRPr="5E47B54A">
        <w:rPr>
          <w:rFonts w:eastAsia="Lato" w:cs="Lato"/>
          <w:color w:val="000000" w:themeColor="text1"/>
        </w:rPr>
        <w:lastRenderedPageBreak/>
        <w:t>bijvoorbeeld</w:t>
      </w:r>
      <w:r w:rsidR="00887F78">
        <w:rPr>
          <w:rFonts w:eastAsia="Lato" w:cs="Lato"/>
          <w:color w:val="000000" w:themeColor="text1"/>
        </w:rPr>
        <w:t xml:space="preserve">, </w:t>
      </w:r>
      <w:r w:rsidRPr="5E47B54A">
        <w:rPr>
          <w:rFonts w:eastAsia="Lato" w:cs="Lato"/>
          <w:color w:val="000000" w:themeColor="text1"/>
        </w:rPr>
        <w:t>voor het criterium kwaliteit</w:t>
      </w:r>
      <w:r w:rsidR="00887F78">
        <w:rPr>
          <w:rFonts w:eastAsia="Lato" w:cs="Lato"/>
          <w:color w:val="000000" w:themeColor="text1"/>
        </w:rPr>
        <w:t>,</w:t>
      </w:r>
      <w:r w:rsidRPr="5E47B54A">
        <w:rPr>
          <w:rFonts w:eastAsia="Lato" w:cs="Lato"/>
          <w:color w:val="000000" w:themeColor="text1"/>
        </w:rPr>
        <w:t xml:space="preserve"> naar “het plan van aanpak” en “de ervaring van de voorgestelde medewerkers”. </w:t>
      </w:r>
    </w:p>
    <w:p w14:paraId="0590D09B" w14:textId="77777777" w:rsidR="00215C84" w:rsidRDefault="00215C84" w:rsidP="00215C84">
      <w:pPr>
        <w:rPr>
          <w:rFonts w:eastAsia="Lato" w:cs="Lato"/>
          <w:color w:val="000000" w:themeColor="text1"/>
        </w:rPr>
      </w:pPr>
      <w:r w:rsidRPr="5E47B54A">
        <w:rPr>
          <w:rFonts w:eastAsia="Lato" w:cs="Lato"/>
          <w:color w:val="000000" w:themeColor="text1"/>
        </w:rPr>
        <w:t>Indien de aanbesteder subgunningscriteria wenst te gebruiken, moet hij dit samen met de gunningscriteria in de opdrachtdocumenten vermelden. Het wordt overigens aangeraden om de weging van de gunningscriteria en subgunningscriteria samen kenbaar te maken.</w:t>
      </w:r>
    </w:p>
    <w:p w14:paraId="1F9F86EE" w14:textId="20EC4E99" w:rsidR="00215C84" w:rsidRDefault="00215C84" w:rsidP="00215C84">
      <w:pPr>
        <w:rPr>
          <w:rFonts w:eastAsia="Lato" w:cs="Lato"/>
          <w:b/>
          <w:bCs/>
          <w:color w:val="000000" w:themeColor="text1"/>
        </w:rPr>
      </w:pPr>
      <w:r w:rsidRPr="5E47B54A">
        <w:rPr>
          <w:rFonts w:eastAsia="Lato" w:cs="Lato"/>
          <w:color w:val="000000" w:themeColor="text1"/>
        </w:rPr>
        <w:t>Subgunningscriteria moeten worden onderscheiden van beoordelingselementen. Die laatste zijn immers</w:t>
      </w:r>
      <w:r w:rsidR="00E17BEC">
        <w:rPr>
          <w:rFonts w:eastAsia="Lato" w:cs="Lato"/>
          <w:color w:val="000000" w:themeColor="text1"/>
        </w:rPr>
        <w:t xml:space="preserve"> de</w:t>
      </w:r>
      <w:r w:rsidRPr="5E47B54A">
        <w:rPr>
          <w:rFonts w:eastAsia="Lato" w:cs="Lato"/>
          <w:color w:val="000000" w:themeColor="text1"/>
        </w:rPr>
        <w:t xml:space="preserve"> van uit de offertes gepuurde “elementen” die alleen maar dienen om de beoordeling van een </w:t>
      </w:r>
      <w:r w:rsidR="007F5B9D">
        <w:rPr>
          <w:rFonts w:eastAsia="Lato" w:cs="Lato"/>
          <w:color w:val="000000" w:themeColor="text1"/>
        </w:rPr>
        <w:t>(sub)</w:t>
      </w:r>
      <w:r w:rsidRPr="5E47B54A">
        <w:rPr>
          <w:rFonts w:eastAsia="Lato" w:cs="Lato"/>
          <w:color w:val="000000" w:themeColor="text1"/>
        </w:rPr>
        <w:t xml:space="preserve">gunningscriterium te ondersteunen. </w:t>
      </w:r>
    </w:p>
    <w:p w14:paraId="460809EA" w14:textId="0EC70CF8" w:rsidR="00215C84" w:rsidRPr="00465FC9" w:rsidRDefault="00215C84" w:rsidP="00215C84">
      <w:pPr>
        <w:pStyle w:val="Kop4"/>
        <w:rPr>
          <w:rFonts w:eastAsia="Lato"/>
          <w:lang w:val="nl-BE"/>
        </w:rPr>
      </w:pPr>
      <w:r w:rsidRPr="00465FC9">
        <w:rPr>
          <w:rFonts w:eastAsia="Lato"/>
          <w:lang w:val="nl-BE"/>
        </w:rPr>
        <w:t>Proportionaliteit bij gunningscriteria</w:t>
      </w:r>
      <w:r w:rsidR="008C1959">
        <w:rPr>
          <w:rFonts w:eastAsia="Lato"/>
          <w:lang w:val="nl-BE"/>
        </w:rPr>
        <w:t xml:space="preserve"> en </w:t>
      </w:r>
      <w:r w:rsidR="00FB42A4">
        <w:rPr>
          <w:rFonts w:eastAsia="Lato"/>
          <w:lang w:val="nl-BE"/>
        </w:rPr>
        <w:t>hun</w:t>
      </w:r>
      <w:r w:rsidR="008C1959">
        <w:rPr>
          <w:rFonts w:eastAsia="Lato"/>
          <w:lang w:val="nl-BE"/>
        </w:rPr>
        <w:t xml:space="preserve"> impact op de mededinging</w:t>
      </w:r>
    </w:p>
    <w:p w14:paraId="7189712E" w14:textId="0C3CDEB8" w:rsidR="00A11D62" w:rsidRDefault="00215C84" w:rsidP="00215C84">
      <w:pPr>
        <w:rPr>
          <w:rFonts w:eastAsia="Lato" w:cs="Lato"/>
          <w:color w:val="000000" w:themeColor="text1"/>
        </w:rPr>
      </w:pPr>
      <w:r w:rsidRPr="00556577">
        <w:rPr>
          <w:rFonts w:eastAsia="Lato" w:cs="Lato"/>
          <w:color w:val="000000" w:themeColor="text1"/>
        </w:rPr>
        <w:t xml:space="preserve">De aanbesteder wordt eraan herinnerd dat hij ook bij de gunningscriteria </w:t>
      </w:r>
      <w:r w:rsidRPr="00556577">
        <w:rPr>
          <w:rFonts w:eastAsia="Lato" w:cs="Lato"/>
          <w:b/>
          <w:bCs/>
          <w:color w:val="000000" w:themeColor="text1"/>
        </w:rPr>
        <w:t>r</w:t>
      </w:r>
      <w:r w:rsidRPr="5E47B54A">
        <w:rPr>
          <w:rFonts w:eastAsia="Lato" w:cs="Lato"/>
          <w:b/>
          <w:bCs/>
          <w:color w:val="000000" w:themeColor="text1"/>
        </w:rPr>
        <w:t>ekening moet houden met het proportionaliteitsbeginsel</w:t>
      </w:r>
      <w:r w:rsidR="005C5744">
        <w:rPr>
          <w:rFonts w:eastAsia="Lato" w:cs="Lato"/>
          <w:b/>
          <w:bCs/>
          <w:color w:val="000000" w:themeColor="text1"/>
        </w:rPr>
        <w:t>,</w:t>
      </w:r>
      <w:r w:rsidR="008C1959">
        <w:rPr>
          <w:rFonts w:eastAsia="Lato" w:cs="Lato"/>
          <w:b/>
          <w:bCs/>
          <w:color w:val="000000" w:themeColor="text1"/>
        </w:rPr>
        <w:t xml:space="preserve"> in de zin van het waarborgen van de mogelijkheid tot daadwerkelijke mededinging</w:t>
      </w:r>
      <w:r w:rsidR="00293396">
        <w:rPr>
          <w:rFonts w:eastAsia="Lato" w:cs="Lato"/>
          <w:b/>
          <w:bCs/>
          <w:color w:val="000000" w:themeColor="text1"/>
        </w:rPr>
        <w:t>,</w:t>
      </w:r>
      <w:r w:rsidRPr="5E47B54A">
        <w:rPr>
          <w:rFonts w:eastAsia="Lato" w:cs="Lato"/>
          <w:b/>
          <w:bCs/>
          <w:color w:val="000000" w:themeColor="text1"/>
        </w:rPr>
        <w:t xml:space="preserve"> en de eisen </w:t>
      </w:r>
      <w:r w:rsidR="00556577">
        <w:rPr>
          <w:rFonts w:eastAsia="Lato" w:cs="Lato"/>
          <w:b/>
          <w:bCs/>
          <w:color w:val="000000" w:themeColor="text1"/>
        </w:rPr>
        <w:t xml:space="preserve">dus </w:t>
      </w:r>
      <w:r w:rsidRPr="5E47B54A">
        <w:rPr>
          <w:rFonts w:eastAsia="Lato" w:cs="Lato"/>
          <w:b/>
          <w:bCs/>
          <w:color w:val="000000" w:themeColor="text1"/>
        </w:rPr>
        <w:t>steeds redelijk moet houden</w:t>
      </w:r>
      <w:r w:rsidRPr="5E47B54A">
        <w:rPr>
          <w:rFonts w:eastAsia="Lato" w:cs="Lato"/>
          <w:color w:val="000000" w:themeColor="text1"/>
        </w:rPr>
        <w:t>.</w:t>
      </w:r>
    </w:p>
    <w:p w14:paraId="48C07D6E" w14:textId="03CA1580" w:rsidR="000D5A88" w:rsidRDefault="00A11D62" w:rsidP="00215C84">
      <w:pPr>
        <w:rPr>
          <w:rFonts w:eastAsia="Lato" w:cs="Lato"/>
          <w:color w:val="000000" w:themeColor="text1"/>
        </w:rPr>
      </w:pPr>
      <w:r>
        <w:rPr>
          <w:rFonts w:eastAsia="Lato" w:cs="Lato"/>
          <w:color w:val="000000" w:themeColor="text1"/>
        </w:rPr>
        <w:t>In het geval dat bepaalde clausules geformuleerd worden, moet</w:t>
      </w:r>
      <w:r w:rsidR="00A90323">
        <w:rPr>
          <w:rFonts w:eastAsia="Lato" w:cs="Lato"/>
          <w:color w:val="000000" w:themeColor="text1"/>
        </w:rPr>
        <w:t>en</w:t>
      </w:r>
      <w:r>
        <w:rPr>
          <w:rFonts w:eastAsia="Lato" w:cs="Lato"/>
          <w:color w:val="000000" w:themeColor="text1"/>
        </w:rPr>
        <w:t xml:space="preserve"> zij </w:t>
      </w:r>
      <w:r w:rsidR="005B12E0">
        <w:rPr>
          <w:rFonts w:eastAsia="Lato" w:cs="Lato"/>
          <w:color w:val="000000" w:themeColor="text1"/>
        </w:rPr>
        <w:t xml:space="preserve">dus de mogelijkheid tot daadwerkelijke mededinging waarborgen – weliswaar </w:t>
      </w:r>
      <w:r w:rsidR="00A90323">
        <w:rPr>
          <w:rFonts w:eastAsia="Lato" w:cs="Lato"/>
          <w:color w:val="000000" w:themeColor="text1"/>
        </w:rPr>
        <w:t xml:space="preserve">in overeenstemming met de op dat moment geldende </w:t>
      </w:r>
      <w:r w:rsidR="006E76ED">
        <w:rPr>
          <w:rFonts w:eastAsia="Lato" w:cs="Lato"/>
          <w:color w:val="000000" w:themeColor="text1"/>
        </w:rPr>
        <w:t>instructies inzake aankoopbeleid.</w:t>
      </w:r>
      <w:r w:rsidR="00215C84" w:rsidRPr="5E47B54A">
        <w:rPr>
          <w:rFonts w:eastAsia="Lato" w:cs="Lato"/>
          <w:color w:val="000000" w:themeColor="text1"/>
        </w:rPr>
        <w:t xml:space="preserve"> </w:t>
      </w:r>
      <w:r w:rsidR="00855DDB" w:rsidRPr="00FA1863">
        <w:rPr>
          <w:rFonts w:eastAsia="Lato" w:cs="Lato"/>
        </w:rPr>
        <w:t>Denken we bijvoorbeeld aan</w:t>
      </w:r>
      <w:r w:rsidR="00215C84" w:rsidRPr="00FA1863">
        <w:rPr>
          <w:rFonts w:eastAsia="Lato" w:cs="Lato"/>
        </w:rPr>
        <w:t xml:space="preserve"> </w:t>
      </w:r>
      <w:r w:rsidR="00215C84" w:rsidRPr="5E47B54A">
        <w:rPr>
          <w:rFonts w:eastAsia="Lato" w:cs="Lato"/>
          <w:color w:val="000000" w:themeColor="text1"/>
        </w:rPr>
        <w:t xml:space="preserve">het geval </w:t>
      </w:r>
      <w:r w:rsidR="00855DDB">
        <w:rPr>
          <w:rFonts w:eastAsia="Lato" w:cs="Lato"/>
          <w:color w:val="000000" w:themeColor="text1"/>
        </w:rPr>
        <w:t>waar</w:t>
      </w:r>
      <w:r w:rsidR="00855DDB" w:rsidRPr="5E47B54A">
        <w:rPr>
          <w:rFonts w:eastAsia="Lato" w:cs="Lato"/>
          <w:color w:val="000000" w:themeColor="text1"/>
        </w:rPr>
        <w:t xml:space="preserve"> </w:t>
      </w:r>
      <w:r w:rsidR="00215C84" w:rsidRPr="5E47B54A">
        <w:rPr>
          <w:rFonts w:eastAsia="Lato" w:cs="Lato"/>
          <w:color w:val="000000" w:themeColor="text1"/>
        </w:rPr>
        <w:t xml:space="preserve">ondernemingen verplicht worden </w:t>
      </w:r>
      <w:r w:rsidR="00855DDB">
        <w:rPr>
          <w:rFonts w:eastAsia="Lato" w:cs="Lato"/>
          <w:color w:val="000000" w:themeColor="text1"/>
        </w:rPr>
        <w:t>een bepaalde eigenschap</w:t>
      </w:r>
      <w:r w:rsidR="00215C84" w:rsidRPr="5E47B54A">
        <w:rPr>
          <w:rFonts w:eastAsia="Lato" w:cs="Lato"/>
          <w:color w:val="000000" w:themeColor="text1"/>
        </w:rPr>
        <w:t xml:space="preserve"> aan te tonen </w:t>
      </w:r>
      <w:r w:rsidR="00215C84" w:rsidRPr="00ED4025">
        <w:rPr>
          <w:rFonts w:eastAsia="Lato" w:cs="Lato"/>
          <w:i/>
          <w:iCs/>
          <w:color w:val="000000" w:themeColor="text1"/>
        </w:rPr>
        <w:t>enkel en alleen</w:t>
      </w:r>
      <w:r w:rsidR="00215C84" w:rsidRPr="5E47B54A">
        <w:rPr>
          <w:rFonts w:eastAsia="Lato" w:cs="Lato"/>
          <w:color w:val="000000" w:themeColor="text1"/>
        </w:rPr>
        <w:t xml:space="preserve"> door middel van dure </w:t>
      </w:r>
      <w:r w:rsidR="00231B80">
        <w:rPr>
          <w:rFonts w:eastAsia="Lato" w:cs="Lato"/>
          <w:color w:val="000000" w:themeColor="text1"/>
        </w:rPr>
        <w:t xml:space="preserve">technische </w:t>
      </w:r>
      <w:r w:rsidR="00215C84" w:rsidRPr="5E47B54A">
        <w:rPr>
          <w:rFonts w:eastAsia="Lato" w:cs="Lato"/>
          <w:color w:val="000000" w:themeColor="text1"/>
        </w:rPr>
        <w:t>certificaten. Kmo's zullen vaak veel geld moeten investeren om aan die verplichtingen te voldoen, en dat zonder de garantie de opdracht binnen te halen.</w:t>
      </w:r>
    </w:p>
    <w:p w14:paraId="3D712B5A" w14:textId="6B0E7252" w:rsidR="00215C84" w:rsidRDefault="000D5A88" w:rsidP="00215C84">
      <w:pPr>
        <w:rPr>
          <w:rFonts w:eastAsia="Lato" w:cs="Lato"/>
          <w:color w:val="000000" w:themeColor="text1"/>
        </w:rPr>
      </w:pPr>
      <w:r w:rsidRPr="000D5A88">
        <w:rPr>
          <w:rFonts w:eastAsia="Lato" w:cs="Lato"/>
          <w:color w:val="000000" w:themeColor="text1"/>
        </w:rPr>
        <w:t xml:space="preserve">De aanbesteder dient </w:t>
      </w:r>
      <w:r>
        <w:rPr>
          <w:rFonts w:eastAsia="Lato" w:cs="Lato"/>
          <w:color w:val="000000" w:themeColor="text1"/>
        </w:rPr>
        <w:t xml:space="preserve">er </w:t>
      </w:r>
      <w:r w:rsidRPr="000D5A88">
        <w:rPr>
          <w:rFonts w:eastAsia="Lato" w:cs="Lato"/>
          <w:color w:val="000000" w:themeColor="text1"/>
        </w:rPr>
        <w:t>zich</w:t>
      </w:r>
      <w:r>
        <w:rPr>
          <w:rFonts w:eastAsia="Lato" w:cs="Lato"/>
          <w:color w:val="000000" w:themeColor="text1"/>
        </w:rPr>
        <w:t xml:space="preserve"> eveneens</w:t>
      </w:r>
      <w:r w:rsidRPr="000D5A88">
        <w:rPr>
          <w:rFonts w:eastAsia="Lato" w:cs="Lato"/>
          <w:color w:val="000000" w:themeColor="text1"/>
        </w:rPr>
        <w:t xml:space="preserve"> van bewust te zijn dat, </w:t>
      </w:r>
      <w:r w:rsidRPr="001F58F2">
        <w:rPr>
          <w:rFonts w:eastAsia="Lato" w:cs="Lato"/>
          <w:b/>
          <w:bCs/>
          <w:color w:val="000000" w:themeColor="text1"/>
        </w:rPr>
        <w:t>wanneer</w:t>
      </w:r>
      <w:r w:rsidR="00200783" w:rsidRPr="001F58F2">
        <w:rPr>
          <w:rFonts w:eastAsia="Lato" w:cs="Lato"/>
          <w:b/>
          <w:bCs/>
          <w:color w:val="000000" w:themeColor="text1"/>
        </w:rPr>
        <w:t xml:space="preserve"> bijvoorbeeld</w:t>
      </w:r>
      <w:r w:rsidRPr="001F58F2">
        <w:rPr>
          <w:rFonts w:eastAsia="Lato" w:cs="Lato"/>
          <w:b/>
          <w:bCs/>
          <w:color w:val="000000" w:themeColor="text1"/>
        </w:rPr>
        <w:t xml:space="preserve"> sociale of milieuaspecten worden aangewend als gunningscriterium</w:t>
      </w:r>
      <w:r w:rsidRPr="000D5A88">
        <w:rPr>
          <w:rFonts w:eastAsia="Lato" w:cs="Lato"/>
          <w:color w:val="000000" w:themeColor="text1"/>
        </w:rPr>
        <w:t xml:space="preserve">, </w:t>
      </w:r>
      <w:r w:rsidR="004F3EC6">
        <w:rPr>
          <w:rFonts w:eastAsia="Lato" w:cs="Lato"/>
          <w:color w:val="000000" w:themeColor="text1"/>
        </w:rPr>
        <w:t xml:space="preserve">er </w:t>
      </w:r>
      <w:r w:rsidRPr="000D5A88">
        <w:rPr>
          <w:rFonts w:eastAsia="Lato" w:cs="Lato"/>
          <w:color w:val="000000" w:themeColor="text1"/>
        </w:rPr>
        <w:t>bij de weging van de gunningscriteria</w:t>
      </w:r>
      <w:r w:rsidR="00114616">
        <w:rPr>
          <w:rFonts w:eastAsia="Lato" w:cs="Lato"/>
          <w:color w:val="000000" w:themeColor="text1"/>
        </w:rPr>
        <w:t xml:space="preserve"> </w:t>
      </w:r>
      <w:r w:rsidRPr="000D5A88">
        <w:rPr>
          <w:rFonts w:eastAsia="Lato" w:cs="Lato"/>
          <w:color w:val="000000" w:themeColor="text1"/>
        </w:rPr>
        <w:t xml:space="preserve">goed aan </w:t>
      </w:r>
      <w:r w:rsidR="00200783">
        <w:rPr>
          <w:rFonts w:eastAsia="Lato" w:cs="Lato"/>
          <w:color w:val="000000" w:themeColor="text1"/>
        </w:rPr>
        <w:t>gedaan wordt</w:t>
      </w:r>
      <w:r w:rsidRPr="000D5A88">
        <w:rPr>
          <w:rFonts w:eastAsia="Lato" w:cs="Lato"/>
          <w:color w:val="000000" w:themeColor="text1"/>
        </w:rPr>
        <w:t xml:space="preserve"> </w:t>
      </w:r>
      <w:r w:rsidRPr="001F58F2">
        <w:rPr>
          <w:rFonts w:eastAsia="Lato" w:cs="Lato"/>
          <w:b/>
          <w:bCs/>
          <w:color w:val="000000" w:themeColor="text1"/>
        </w:rPr>
        <w:t>een voldoende hoog gewicht toe te kennen aan de criteria die verband houden met deze sociale of milieuaspecten</w:t>
      </w:r>
      <w:r w:rsidR="00F35B43">
        <w:rPr>
          <w:rFonts w:eastAsia="Lato" w:cs="Lato"/>
          <w:color w:val="000000" w:themeColor="text1"/>
        </w:rPr>
        <w:t>. Dat</w:t>
      </w:r>
      <w:r w:rsidRPr="000D5A88">
        <w:rPr>
          <w:rFonts w:eastAsia="Lato" w:cs="Lato"/>
          <w:color w:val="000000" w:themeColor="text1"/>
        </w:rPr>
        <w:t xml:space="preserve"> om te vermijden dat uiteindelijk toch het prijscriterium de uitslag zou bepalen. Indien de inschrijver immers wil inspelen op deze sociale of milieuaspecten bij de opmaak van zijn offerte, om een hogere score te behalen, zal dit in heel wat gevallen ook leiden tot een hogere offerteprijs</w:t>
      </w:r>
      <w:r w:rsidR="00F35B43">
        <w:rPr>
          <w:rFonts w:eastAsia="Lato" w:cs="Lato"/>
          <w:color w:val="000000" w:themeColor="text1"/>
        </w:rPr>
        <w:t xml:space="preserve">. </w:t>
      </w:r>
    </w:p>
    <w:p w14:paraId="3998F144" w14:textId="5A2F12DB" w:rsidR="00215C84" w:rsidRDefault="00D87309" w:rsidP="00215C84">
      <w:pPr>
        <w:rPr>
          <w:rFonts w:eastAsia="Lato" w:cs="Lato"/>
          <w:color w:val="000000" w:themeColor="text1"/>
        </w:rPr>
      </w:pPr>
      <w:r>
        <w:rPr>
          <w:rFonts w:eastAsia="Lato" w:cs="Lato"/>
          <w:color w:val="000000" w:themeColor="text1"/>
        </w:rPr>
        <w:t xml:space="preserve">Indien in een dergelijk geval toch (voornamelijk) op de prijs gespeeld zou worden, dan zal dat </w:t>
      </w:r>
      <w:r w:rsidR="00E6441A">
        <w:rPr>
          <w:rFonts w:eastAsia="Lato" w:cs="Lato"/>
          <w:color w:val="000000" w:themeColor="text1"/>
        </w:rPr>
        <w:t>in de praktijk waarschijnlijk leiden tot een beperking van de mededinging.</w:t>
      </w:r>
      <w:r w:rsidR="00663907">
        <w:rPr>
          <w:rFonts w:eastAsia="Lato" w:cs="Lato"/>
          <w:color w:val="000000" w:themeColor="text1"/>
        </w:rPr>
        <w:t xml:space="preserve"> Het zullen immers eerder grote</w:t>
      </w:r>
      <w:r w:rsidR="006D1154">
        <w:rPr>
          <w:rFonts w:eastAsia="Lato" w:cs="Lato"/>
          <w:color w:val="000000" w:themeColor="text1"/>
        </w:rPr>
        <w:t>(</w:t>
      </w:r>
      <w:r w:rsidR="00663907">
        <w:rPr>
          <w:rFonts w:eastAsia="Lato" w:cs="Lato"/>
          <w:color w:val="000000" w:themeColor="text1"/>
        </w:rPr>
        <w:t>re</w:t>
      </w:r>
      <w:r w:rsidR="006D1154">
        <w:rPr>
          <w:rFonts w:eastAsia="Lato" w:cs="Lato"/>
          <w:color w:val="000000" w:themeColor="text1"/>
        </w:rPr>
        <w:t>)</w:t>
      </w:r>
      <w:r w:rsidR="00663907">
        <w:rPr>
          <w:rFonts w:eastAsia="Lato" w:cs="Lato"/>
          <w:color w:val="000000" w:themeColor="text1"/>
        </w:rPr>
        <w:t xml:space="preserve"> ondernemingen zijn die zowel </w:t>
      </w:r>
      <w:r w:rsidR="006D1154">
        <w:rPr>
          <w:rFonts w:eastAsia="Lato" w:cs="Lato"/>
          <w:color w:val="000000" w:themeColor="text1"/>
        </w:rPr>
        <w:t xml:space="preserve">aan de sociale of milieuaspecten kunnen voldoen én op prijs kunnen concurreren. </w:t>
      </w:r>
      <w:r w:rsidR="00C41AA8" w:rsidRPr="003C3944">
        <w:rPr>
          <w:rFonts w:eastAsia="Lato" w:cs="Lato"/>
          <w:b/>
          <w:bCs/>
          <w:color w:val="000000" w:themeColor="text1"/>
        </w:rPr>
        <w:t>Een dergelijk</w:t>
      </w:r>
      <w:r w:rsidR="003C3944" w:rsidRPr="003C3944">
        <w:rPr>
          <w:rFonts w:eastAsia="Lato" w:cs="Lato"/>
          <w:b/>
          <w:bCs/>
          <w:color w:val="000000" w:themeColor="text1"/>
        </w:rPr>
        <w:t>e situatie</w:t>
      </w:r>
      <w:r w:rsidR="003C3944">
        <w:rPr>
          <w:rFonts w:eastAsia="Lato" w:cs="Lato"/>
          <w:color w:val="000000" w:themeColor="text1"/>
        </w:rPr>
        <w:t xml:space="preserve"> </w:t>
      </w:r>
      <w:r w:rsidR="00215C84" w:rsidRPr="00361284">
        <w:rPr>
          <w:rFonts w:eastAsia="Lato" w:cs="Lato"/>
          <w:b/>
          <w:bCs/>
          <w:color w:val="C00000"/>
        </w:rPr>
        <w:t>wordt</w:t>
      </w:r>
      <w:r w:rsidR="003006CA">
        <w:rPr>
          <w:rFonts w:eastAsia="Lato" w:cs="Lato"/>
          <w:b/>
          <w:bCs/>
          <w:color w:val="C00000"/>
        </w:rPr>
        <w:t xml:space="preserve"> </w:t>
      </w:r>
      <w:r w:rsidR="00215C84" w:rsidRPr="00361284">
        <w:rPr>
          <w:rFonts w:eastAsia="Lato" w:cs="Lato"/>
          <w:b/>
          <w:bCs/>
          <w:color w:val="C00000"/>
        </w:rPr>
        <w:t>beschouwd als een bad practice</w:t>
      </w:r>
      <w:r w:rsidR="00215C84" w:rsidRPr="00895200">
        <w:rPr>
          <w:rFonts w:eastAsia="Lato" w:cs="Lato"/>
          <w:b/>
          <w:bCs/>
          <w:color w:val="C00000"/>
        </w:rPr>
        <w:t>.</w:t>
      </w:r>
      <w:r w:rsidR="00215C84" w:rsidRPr="00361284">
        <w:rPr>
          <w:rFonts w:eastAsia="Lato" w:cs="Lato"/>
          <w:color w:val="C00000"/>
        </w:rPr>
        <w:t xml:space="preserve"> </w:t>
      </w:r>
    </w:p>
    <w:p w14:paraId="3B6C81D0" w14:textId="524FA785" w:rsidR="00215C84" w:rsidRDefault="00215C84" w:rsidP="00215C84">
      <w:pPr>
        <w:rPr>
          <w:rFonts w:eastAsia="Lato" w:cs="Lato"/>
          <w:color w:val="000000" w:themeColor="text1"/>
        </w:rPr>
      </w:pPr>
      <w:r w:rsidRPr="558C568B">
        <w:rPr>
          <w:rFonts w:eastAsia="Lato" w:cs="Lato"/>
          <w:color w:val="000000" w:themeColor="text1"/>
        </w:rPr>
        <w:t xml:space="preserve">De aanbesteder dient </w:t>
      </w:r>
      <w:r w:rsidR="000A1DAF">
        <w:rPr>
          <w:rFonts w:eastAsia="Lato" w:cs="Lato"/>
          <w:color w:val="000000" w:themeColor="text1"/>
        </w:rPr>
        <w:t xml:space="preserve">ook </w:t>
      </w:r>
      <w:r w:rsidRPr="558C568B">
        <w:rPr>
          <w:rFonts w:eastAsia="Lato" w:cs="Lato"/>
          <w:color w:val="000000" w:themeColor="text1"/>
        </w:rPr>
        <w:t xml:space="preserve">minstens na te gaan of de manier waarop deelnemers kunnen bewijzen dat ze voldoen aan die </w:t>
      </w:r>
      <w:r w:rsidR="00A36E2B">
        <w:rPr>
          <w:rFonts w:eastAsia="Lato" w:cs="Lato"/>
          <w:color w:val="000000" w:themeColor="text1"/>
        </w:rPr>
        <w:t>aspecten</w:t>
      </w:r>
      <w:r w:rsidR="00A36E2B" w:rsidRPr="558C568B">
        <w:rPr>
          <w:rFonts w:eastAsia="Lato" w:cs="Lato"/>
          <w:color w:val="000000" w:themeColor="text1"/>
        </w:rPr>
        <w:t xml:space="preserve"> </w:t>
      </w:r>
      <w:r w:rsidRPr="558C568B">
        <w:rPr>
          <w:rFonts w:eastAsia="Lato" w:cs="Lato"/>
          <w:color w:val="000000" w:themeColor="text1"/>
        </w:rPr>
        <w:t xml:space="preserve">niet onevenredig zwaar is en </w:t>
      </w:r>
      <w:r w:rsidR="00F7707C">
        <w:rPr>
          <w:rFonts w:eastAsia="Lato" w:cs="Lato"/>
          <w:color w:val="000000" w:themeColor="text1"/>
        </w:rPr>
        <w:t>of</w:t>
      </w:r>
      <w:r w:rsidR="00F7707C" w:rsidRPr="558C568B">
        <w:rPr>
          <w:rFonts w:eastAsia="Lato" w:cs="Lato"/>
          <w:color w:val="000000" w:themeColor="text1"/>
        </w:rPr>
        <w:t xml:space="preserve"> </w:t>
      </w:r>
      <w:r w:rsidRPr="558C568B">
        <w:rPr>
          <w:rFonts w:eastAsia="Lato" w:cs="Lato"/>
          <w:color w:val="000000" w:themeColor="text1"/>
        </w:rPr>
        <w:t xml:space="preserve">inschrijvers de kans krijgen om dat ook op andere manieren aan te tonen. </w:t>
      </w:r>
      <w:r w:rsidR="00357ADB">
        <w:rPr>
          <w:rFonts w:eastAsia="Lato" w:cs="Lato"/>
          <w:color w:val="000000" w:themeColor="text1"/>
        </w:rPr>
        <w:t>In een volgend punt</w:t>
      </w:r>
      <w:r w:rsidR="00357ADB" w:rsidRPr="558C568B">
        <w:rPr>
          <w:rFonts w:eastAsia="Lato" w:cs="Lato"/>
          <w:color w:val="000000" w:themeColor="text1"/>
        </w:rPr>
        <w:t xml:space="preserve"> </w:t>
      </w:r>
      <w:r w:rsidRPr="558C568B">
        <w:rPr>
          <w:rFonts w:eastAsia="Lato" w:cs="Lato"/>
          <w:color w:val="000000" w:themeColor="text1"/>
        </w:rPr>
        <w:t xml:space="preserve">wordt daarom dieper ingegaan op de </w:t>
      </w:r>
      <w:r w:rsidR="00D55EC5">
        <w:rPr>
          <w:rFonts w:eastAsia="Lato" w:cs="Lato"/>
          <w:color w:val="000000" w:themeColor="text1"/>
        </w:rPr>
        <w:t xml:space="preserve">wettelijke </w:t>
      </w:r>
      <w:r w:rsidRPr="558C568B">
        <w:rPr>
          <w:rFonts w:eastAsia="Lato" w:cs="Lato"/>
          <w:color w:val="000000" w:themeColor="text1"/>
        </w:rPr>
        <w:t xml:space="preserve">mogelijkheid van een </w:t>
      </w:r>
      <w:r w:rsidR="000819F0">
        <w:rPr>
          <w:rFonts w:eastAsia="Lato" w:cs="Lato"/>
          <w:color w:val="000000" w:themeColor="text1"/>
        </w:rPr>
        <w:t>“</w:t>
      </w:r>
      <w:r w:rsidRPr="558C568B">
        <w:rPr>
          <w:rFonts w:eastAsia="Lato" w:cs="Lato"/>
          <w:color w:val="000000" w:themeColor="text1"/>
        </w:rPr>
        <w:t>gelijkwaardig alternatief</w:t>
      </w:r>
      <w:r w:rsidR="000819F0">
        <w:rPr>
          <w:rFonts w:eastAsia="Lato" w:cs="Lato"/>
          <w:color w:val="000000" w:themeColor="text1"/>
        </w:rPr>
        <w:t>”</w:t>
      </w:r>
      <w:r w:rsidRPr="558C568B">
        <w:rPr>
          <w:rFonts w:eastAsia="Lato" w:cs="Lato"/>
          <w:color w:val="000000" w:themeColor="text1"/>
        </w:rPr>
        <w:t>.</w:t>
      </w:r>
    </w:p>
    <w:p w14:paraId="4866CB9A" w14:textId="6FF368E6" w:rsidR="007342FC" w:rsidRDefault="007342FC" w:rsidP="00215C84">
      <w:pPr>
        <w:rPr>
          <w:rFonts w:eastAsia="Lato" w:cs="Lato"/>
          <w:color w:val="000000" w:themeColor="text1"/>
        </w:rPr>
      </w:pPr>
      <w:r>
        <w:rPr>
          <w:rFonts w:eastAsia="Lato" w:cs="Lato"/>
          <w:color w:val="000000" w:themeColor="text1"/>
        </w:rPr>
        <w:t>Daarbij aansluitend</w:t>
      </w:r>
      <w:r w:rsidR="00F10CCC">
        <w:rPr>
          <w:rFonts w:eastAsia="Lato" w:cs="Lato"/>
          <w:color w:val="000000" w:themeColor="text1"/>
        </w:rPr>
        <w:t xml:space="preserve"> </w:t>
      </w:r>
      <w:r w:rsidR="00860B46">
        <w:rPr>
          <w:rFonts w:eastAsia="Lato" w:cs="Lato"/>
          <w:color w:val="000000" w:themeColor="text1"/>
        </w:rPr>
        <w:t>moet</w:t>
      </w:r>
      <w:r w:rsidR="006E1E76">
        <w:rPr>
          <w:rFonts w:eastAsia="Lato" w:cs="Lato"/>
          <w:color w:val="000000" w:themeColor="text1"/>
        </w:rPr>
        <w:t xml:space="preserve"> de aanbesteder, indien hij bijvoorbeeld gebruik maakt van sociale aspecten tijdens de gunning, </w:t>
      </w:r>
      <w:r w:rsidR="004A2174">
        <w:rPr>
          <w:rFonts w:eastAsia="Lato" w:cs="Lato"/>
          <w:color w:val="000000" w:themeColor="text1"/>
        </w:rPr>
        <w:t xml:space="preserve">de naleving daarvan door de begunstigde onderneming ook tijdens de uitvoering van de opdracht blijven opvolgen. Indien dat niet gebeurt en de begunstigde </w:t>
      </w:r>
      <w:r w:rsidR="00574D9C">
        <w:rPr>
          <w:rFonts w:eastAsia="Lato" w:cs="Lato"/>
          <w:color w:val="000000" w:themeColor="text1"/>
        </w:rPr>
        <w:t>leeft dergelijke aspecten niet na tijdens de uitvoering, dan w</w:t>
      </w:r>
      <w:r w:rsidR="007D013B">
        <w:rPr>
          <w:rFonts w:eastAsia="Lato" w:cs="Lato"/>
          <w:color w:val="000000" w:themeColor="text1"/>
        </w:rPr>
        <w:t>ordt</w:t>
      </w:r>
      <w:r w:rsidR="00574D9C">
        <w:rPr>
          <w:rFonts w:eastAsia="Lato" w:cs="Lato"/>
          <w:color w:val="000000" w:themeColor="text1"/>
        </w:rPr>
        <w:t xml:space="preserve"> de mededinging </w:t>
      </w:r>
      <w:r w:rsidR="007D013B">
        <w:rPr>
          <w:rFonts w:eastAsia="Lato" w:cs="Lato"/>
          <w:color w:val="000000" w:themeColor="text1"/>
        </w:rPr>
        <w:t>immers</w:t>
      </w:r>
      <w:r w:rsidR="00574D9C">
        <w:rPr>
          <w:rFonts w:eastAsia="Lato" w:cs="Lato"/>
          <w:color w:val="000000" w:themeColor="text1"/>
        </w:rPr>
        <w:t xml:space="preserve"> vervalst. </w:t>
      </w:r>
    </w:p>
    <w:p w14:paraId="481C5834" w14:textId="54DCC1E5" w:rsidR="00745A8C" w:rsidRDefault="00745A8C" w:rsidP="00215C84">
      <w:pPr>
        <w:rPr>
          <w:rFonts w:eastAsia="Lato" w:cs="Lato"/>
          <w:color w:val="000000" w:themeColor="text1"/>
        </w:rPr>
      </w:pPr>
      <w:r>
        <w:rPr>
          <w:rFonts w:eastAsia="Lato" w:cs="Lato"/>
          <w:color w:val="000000" w:themeColor="text1"/>
        </w:rPr>
        <w:t>Een ander aandachtspunt is “</w:t>
      </w:r>
      <w:r w:rsidRPr="00EF7E59">
        <w:rPr>
          <w:rFonts w:eastAsia="Lato" w:cs="Lato"/>
          <w:b/>
          <w:bCs/>
          <w:color w:val="000000" w:themeColor="text1"/>
        </w:rPr>
        <w:t>niet meer vragen dan nodig is</w:t>
      </w:r>
      <w:r>
        <w:rPr>
          <w:rFonts w:eastAsia="Lato" w:cs="Lato"/>
          <w:color w:val="000000" w:themeColor="text1"/>
        </w:rPr>
        <w:t>”</w:t>
      </w:r>
      <w:r w:rsidR="001F790E">
        <w:rPr>
          <w:rFonts w:eastAsia="Lato" w:cs="Lato"/>
          <w:color w:val="000000" w:themeColor="text1"/>
        </w:rPr>
        <w:t>, waarbij we kunnen verwijzen naar hetgeen reeds gesteld werd bij de selectiecriteria</w:t>
      </w:r>
      <w:r w:rsidR="004D6834">
        <w:rPr>
          <w:rFonts w:eastAsia="Lato" w:cs="Lato"/>
          <w:color w:val="000000" w:themeColor="text1"/>
        </w:rPr>
        <w:t xml:space="preserve"> (en in het kader van de biedvergoeding)</w:t>
      </w:r>
      <w:r w:rsidR="0003495F">
        <w:rPr>
          <w:rFonts w:eastAsia="Lato" w:cs="Lato"/>
          <w:color w:val="000000" w:themeColor="text1"/>
        </w:rPr>
        <w:t xml:space="preserve">. Vraag </w:t>
      </w:r>
      <w:r w:rsidR="00430711">
        <w:rPr>
          <w:rFonts w:eastAsia="Lato" w:cs="Lato"/>
          <w:color w:val="000000" w:themeColor="text1"/>
        </w:rPr>
        <w:t xml:space="preserve"> </w:t>
      </w:r>
      <w:r w:rsidR="00B526E6">
        <w:rPr>
          <w:rFonts w:eastAsia="Lato" w:cs="Lato"/>
          <w:color w:val="000000" w:themeColor="text1"/>
        </w:rPr>
        <w:t>u</w:t>
      </w:r>
      <w:r w:rsidR="00430711">
        <w:rPr>
          <w:rFonts w:eastAsia="Lato" w:cs="Lato"/>
          <w:color w:val="000000" w:themeColor="text1"/>
        </w:rPr>
        <w:t xml:space="preserve"> </w:t>
      </w:r>
      <w:r w:rsidR="0003495F">
        <w:rPr>
          <w:rFonts w:eastAsia="Lato" w:cs="Lato"/>
          <w:color w:val="000000" w:themeColor="text1"/>
        </w:rPr>
        <w:t xml:space="preserve">namelijk als aanbesteder </w:t>
      </w:r>
      <w:r w:rsidR="0001358F">
        <w:rPr>
          <w:rFonts w:eastAsia="Lato" w:cs="Lato"/>
          <w:color w:val="000000" w:themeColor="text1"/>
        </w:rPr>
        <w:t>af of het echt nodig is om</w:t>
      </w:r>
      <w:r w:rsidR="00BF582F">
        <w:rPr>
          <w:rFonts w:eastAsia="Lato" w:cs="Lato"/>
          <w:color w:val="000000" w:themeColor="text1"/>
        </w:rPr>
        <w:t xml:space="preserve"> bijvoorbeeld</w:t>
      </w:r>
      <w:r w:rsidR="0001358F">
        <w:rPr>
          <w:rFonts w:eastAsia="Lato" w:cs="Lato"/>
          <w:color w:val="000000" w:themeColor="text1"/>
        </w:rPr>
        <w:t xml:space="preserve"> </w:t>
      </w:r>
      <w:r w:rsidR="002652BE">
        <w:rPr>
          <w:rFonts w:eastAsia="Lato" w:cs="Lato"/>
          <w:color w:val="000000" w:themeColor="text1"/>
        </w:rPr>
        <w:t xml:space="preserve">bepaalde </w:t>
      </w:r>
      <w:r w:rsidR="002652BE" w:rsidRPr="002652BE">
        <w:rPr>
          <w:rFonts w:eastAsia="Lato" w:cs="Lato"/>
          <w:color w:val="000000" w:themeColor="text1"/>
        </w:rPr>
        <w:t xml:space="preserve">monsters, modellen, prototypes, tekeningen, andere grafische voorstellingen of enig ander ontwerp of concept van inschrijvers </w:t>
      </w:r>
      <w:r w:rsidR="00B526E6">
        <w:rPr>
          <w:rFonts w:eastAsia="Lato" w:cs="Lato"/>
          <w:color w:val="000000" w:themeColor="text1"/>
        </w:rPr>
        <w:t xml:space="preserve">te </w:t>
      </w:r>
      <w:r w:rsidR="00736EC9">
        <w:rPr>
          <w:rFonts w:eastAsia="Lato" w:cs="Lato"/>
          <w:color w:val="000000" w:themeColor="text1"/>
        </w:rPr>
        <w:t>eisen?</w:t>
      </w:r>
      <w:r w:rsidR="001F46B3">
        <w:rPr>
          <w:rFonts w:eastAsia="Lato" w:cs="Lato"/>
          <w:color w:val="000000" w:themeColor="text1"/>
        </w:rPr>
        <w:t xml:space="preserve"> Vraag u af of alle door u geformuleerde gunningscriterium</w:t>
      </w:r>
      <w:r w:rsidR="00B06398">
        <w:rPr>
          <w:rFonts w:eastAsia="Lato" w:cs="Lato"/>
          <w:color w:val="000000" w:themeColor="text1"/>
        </w:rPr>
        <w:t xml:space="preserve"> nuttig, relevant</w:t>
      </w:r>
      <w:r w:rsidR="001F32E9">
        <w:rPr>
          <w:rFonts w:eastAsia="Lato" w:cs="Lato"/>
          <w:color w:val="000000" w:themeColor="text1"/>
        </w:rPr>
        <w:t>, nodig</w:t>
      </w:r>
      <w:r w:rsidR="00B06398">
        <w:rPr>
          <w:rFonts w:eastAsia="Lato" w:cs="Lato"/>
          <w:color w:val="000000" w:themeColor="text1"/>
        </w:rPr>
        <w:t xml:space="preserve"> zijn</w:t>
      </w:r>
      <w:r w:rsidR="00B7155E" w:rsidRPr="00B7155E">
        <w:t xml:space="preserve"> </w:t>
      </w:r>
      <w:r w:rsidR="00B7155E">
        <w:t xml:space="preserve">om </w:t>
      </w:r>
      <w:r w:rsidR="00B7155E" w:rsidRPr="00B7155E">
        <w:rPr>
          <w:rFonts w:eastAsia="Lato" w:cs="Lato"/>
          <w:color w:val="000000" w:themeColor="text1"/>
        </w:rPr>
        <w:t>tot een objectieve vergelijking van de offertes te komen</w:t>
      </w:r>
      <w:r w:rsidR="00B7155E">
        <w:rPr>
          <w:rFonts w:eastAsia="Lato" w:cs="Lato"/>
          <w:color w:val="000000" w:themeColor="text1"/>
        </w:rPr>
        <w:t xml:space="preserve"> </w:t>
      </w:r>
      <w:r w:rsidR="00B06398">
        <w:rPr>
          <w:rFonts w:eastAsia="Lato" w:cs="Lato"/>
          <w:color w:val="000000" w:themeColor="text1"/>
        </w:rPr>
        <w:t>en</w:t>
      </w:r>
      <w:r w:rsidR="00B7155E">
        <w:rPr>
          <w:rFonts w:eastAsia="Lato" w:cs="Lato"/>
          <w:color w:val="000000" w:themeColor="text1"/>
        </w:rPr>
        <w:t xml:space="preserve"> of zij</w:t>
      </w:r>
      <w:r w:rsidR="00B06398">
        <w:rPr>
          <w:rFonts w:eastAsia="Lato" w:cs="Lato"/>
          <w:color w:val="000000" w:themeColor="text1"/>
        </w:rPr>
        <w:t xml:space="preserve"> de daadwerkelijke mededinging niet verstoren</w:t>
      </w:r>
      <w:r w:rsidR="001F32E9">
        <w:rPr>
          <w:rFonts w:eastAsia="Lato" w:cs="Lato"/>
          <w:color w:val="000000" w:themeColor="text1"/>
        </w:rPr>
        <w:t xml:space="preserve">. </w:t>
      </w:r>
    </w:p>
    <w:p w14:paraId="77AE9782" w14:textId="13645A96" w:rsidR="001D3F4E" w:rsidRDefault="001D7C02" w:rsidP="00215C84">
      <w:pPr>
        <w:rPr>
          <w:rFonts w:eastAsia="Lato" w:cs="Lato"/>
          <w:color w:val="000000" w:themeColor="text1"/>
        </w:rPr>
      </w:pPr>
      <w:r>
        <w:rPr>
          <w:rFonts w:eastAsia="Lato" w:cs="Lato"/>
          <w:color w:val="000000" w:themeColor="text1"/>
        </w:rPr>
        <w:t xml:space="preserve">Beperk met andere woorden de gevraagde output van inschrijvers </w:t>
      </w:r>
      <w:r w:rsidR="002A1300">
        <w:rPr>
          <w:rFonts w:eastAsia="Lato" w:cs="Lato"/>
          <w:color w:val="000000" w:themeColor="text1"/>
        </w:rPr>
        <w:t>tijdens het opstellen van een offerte</w:t>
      </w:r>
      <w:r w:rsidR="002702DC">
        <w:rPr>
          <w:rFonts w:eastAsia="Lato" w:cs="Lato"/>
          <w:color w:val="000000" w:themeColor="text1"/>
        </w:rPr>
        <w:t>. G</w:t>
      </w:r>
      <w:r w:rsidR="002A1300">
        <w:rPr>
          <w:rFonts w:eastAsia="Lato" w:cs="Lato"/>
          <w:color w:val="000000" w:themeColor="text1"/>
        </w:rPr>
        <w:t xml:space="preserve">a telkens </w:t>
      </w:r>
      <w:r w:rsidR="00DC0D8A">
        <w:rPr>
          <w:rFonts w:eastAsia="Lato" w:cs="Lato"/>
          <w:color w:val="000000" w:themeColor="text1"/>
        </w:rPr>
        <w:t xml:space="preserve">na </w:t>
      </w:r>
      <w:r w:rsidR="00196DBF">
        <w:rPr>
          <w:rFonts w:eastAsia="Lato" w:cs="Lato"/>
          <w:color w:val="000000" w:themeColor="text1"/>
        </w:rPr>
        <w:t>wat er</w:t>
      </w:r>
      <w:r w:rsidR="002A1300">
        <w:rPr>
          <w:rFonts w:eastAsia="Lato" w:cs="Lato"/>
          <w:color w:val="000000" w:themeColor="text1"/>
        </w:rPr>
        <w:t xml:space="preserve"> echt noodzakelijk is om de</w:t>
      </w:r>
      <w:r w:rsidR="00543978">
        <w:rPr>
          <w:rFonts w:eastAsia="Lato" w:cs="Lato"/>
          <w:color w:val="000000" w:themeColor="text1"/>
        </w:rPr>
        <w:t xml:space="preserve"> offerte van de</w:t>
      </w:r>
      <w:r w:rsidR="002A1300">
        <w:rPr>
          <w:rFonts w:eastAsia="Lato" w:cs="Lato"/>
          <w:color w:val="000000" w:themeColor="text1"/>
        </w:rPr>
        <w:t xml:space="preserve"> inschrijver te kunnen beoordelen</w:t>
      </w:r>
      <w:r w:rsidR="002702DC">
        <w:rPr>
          <w:rFonts w:eastAsia="Lato" w:cs="Lato"/>
          <w:color w:val="000000" w:themeColor="text1"/>
        </w:rPr>
        <w:t>,</w:t>
      </w:r>
      <w:r w:rsidR="002A1300">
        <w:rPr>
          <w:rFonts w:eastAsia="Lato" w:cs="Lato"/>
          <w:color w:val="000000" w:themeColor="text1"/>
        </w:rPr>
        <w:t xml:space="preserve"> welk niveau van detail volstaat</w:t>
      </w:r>
      <w:r w:rsidR="002702DC">
        <w:rPr>
          <w:rFonts w:eastAsia="Lato" w:cs="Lato"/>
          <w:color w:val="000000" w:themeColor="text1"/>
        </w:rPr>
        <w:t xml:space="preserve"> en beperk u tot dat</w:t>
      </w:r>
      <w:r w:rsidR="002A1300">
        <w:rPr>
          <w:rFonts w:eastAsia="Lato" w:cs="Lato"/>
          <w:color w:val="000000" w:themeColor="text1"/>
        </w:rPr>
        <w:t xml:space="preserve">. </w:t>
      </w:r>
      <w:r w:rsidR="00196DBF">
        <w:rPr>
          <w:rFonts w:eastAsia="Lato" w:cs="Lato"/>
          <w:color w:val="000000" w:themeColor="text1"/>
        </w:rPr>
        <w:t xml:space="preserve">Opnieuw blijkt een goede marktverkenning cruciaal. </w:t>
      </w:r>
    </w:p>
    <w:p w14:paraId="4CBCE6AC" w14:textId="77777777" w:rsidR="00215C84" w:rsidRPr="00465FC9" w:rsidRDefault="00215C84" w:rsidP="00215C84">
      <w:pPr>
        <w:pStyle w:val="Kop4"/>
        <w:rPr>
          <w:rFonts w:eastAsia="Lato"/>
          <w:lang w:val="nl-BE"/>
        </w:rPr>
      </w:pPr>
      <w:r w:rsidRPr="00465FC9">
        <w:rPr>
          <w:rFonts w:eastAsia="Lato"/>
          <w:lang w:val="nl-BE"/>
        </w:rPr>
        <w:t>Gelijkwaardig alternatief</w:t>
      </w:r>
    </w:p>
    <w:p w14:paraId="05EA33B9" w14:textId="77777777" w:rsidR="00215C84" w:rsidRDefault="00215C84" w:rsidP="00215C84">
      <w:pPr>
        <w:rPr>
          <w:rFonts w:eastAsia="Lato" w:cs="Lato"/>
          <w:color w:val="000000" w:themeColor="text1"/>
        </w:rPr>
      </w:pPr>
      <w:r w:rsidRPr="5BCC2480">
        <w:rPr>
          <w:rFonts w:eastAsia="Lato" w:cs="Lato"/>
          <w:color w:val="000000" w:themeColor="text1"/>
        </w:rPr>
        <w:t xml:space="preserve">De wetgever voorziet de mogelijkheid voor ondernemingen om met een zogenaamd </w:t>
      </w:r>
      <w:r>
        <w:rPr>
          <w:rFonts w:eastAsia="Lato" w:cs="Lato"/>
          <w:color w:val="000000" w:themeColor="text1"/>
        </w:rPr>
        <w:t>“</w:t>
      </w:r>
      <w:r w:rsidRPr="5BCC2480">
        <w:rPr>
          <w:rFonts w:eastAsia="Lato" w:cs="Lato"/>
          <w:color w:val="000000" w:themeColor="text1"/>
        </w:rPr>
        <w:t>gelijkwaardig alternatief</w:t>
      </w:r>
      <w:r>
        <w:rPr>
          <w:rFonts w:eastAsia="Lato" w:cs="Lato"/>
          <w:color w:val="000000" w:themeColor="text1"/>
        </w:rPr>
        <w:t>”</w:t>
      </w:r>
      <w:r w:rsidRPr="5BCC2480">
        <w:rPr>
          <w:rFonts w:eastAsia="Lato" w:cs="Lato"/>
          <w:color w:val="000000" w:themeColor="text1"/>
        </w:rPr>
        <w:t xml:space="preserve"> te komen wanneer de aanbesteder bepaalde certificaten, testverslagen, keurmerken </w:t>
      </w:r>
      <w:r w:rsidRPr="5BCC2480">
        <w:rPr>
          <w:rFonts w:eastAsia="Lato" w:cs="Lato"/>
          <w:color w:val="000000" w:themeColor="text1"/>
        </w:rPr>
        <w:lastRenderedPageBreak/>
        <w:t xml:space="preserve">of kwaliteitsnormen en normen inzake milieubeheer vereist (zie artikelen 54, 55 en 77 van de wet van 17 juni 2016). </w:t>
      </w:r>
    </w:p>
    <w:p w14:paraId="04CEEE84" w14:textId="2775B314" w:rsidR="00215C84" w:rsidRDefault="00215C84" w:rsidP="00215C84">
      <w:pPr>
        <w:rPr>
          <w:rFonts w:eastAsia="Lato" w:cs="Lato"/>
          <w:color w:val="000000" w:themeColor="text1"/>
        </w:rPr>
      </w:pPr>
      <w:r w:rsidRPr="007810B8">
        <w:rPr>
          <w:rFonts w:eastAsia="Lato" w:cs="Lato"/>
          <w:b/>
          <w:bCs/>
          <w:color w:val="000000" w:themeColor="text1"/>
        </w:rPr>
        <w:t xml:space="preserve">De </w:t>
      </w:r>
      <w:r w:rsidR="00AF4026">
        <w:rPr>
          <w:rFonts w:eastAsia="Lato" w:cs="Lato"/>
          <w:b/>
          <w:bCs/>
          <w:color w:val="000000" w:themeColor="text1"/>
        </w:rPr>
        <w:t>aanbesteder</w:t>
      </w:r>
      <w:r w:rsidRPr="007810B8">
        <w:rPr>
          <w:rFonts w:eastAsia="Lato" w:cs="Lato"/>
          <w:b/>
          <w:bCs/>
          <w:color w:val="000000" w:themeColor="text1"/>
        </w:rPr>
        <w:t xml:space="preserve"> die een specifiek keurmerk eist, aanvaardt alle keurmerken die bevestigen dat de werken, leveringen of diensten aan gelijkwaardige keurmerkeisen voldoen</w:t>
      </w:r>
      <w:r w:rsidRPr="5BCC2480">
        <w:rPr>
          <w:rFonts w:eastAsia="Lato" w:cs="Lato"/>
          <w:color w:val="000000" w:themeColor="text1"/>
        </w:rPr>
        <w:t xml:space="preserve">. Indien een ondernemer aantoonbaar niet de mogelijkheid heeft het geëiste keurmerk of een gelijkwaardig keurmerk te verwerven, </w:t>
      </w:r>
      <w:r w:rsidRPr="007810B8">
        <w:rPr>
          <w:rFonts w:eastAsia="Lato" w:cs="Lato"/>
          <w:b/>
          <w:bCs/>
          <w:color w:val="000000" w:themeColor="text1"/>
        </w:rPr>
        <w:t xml:space="preserve">aanvaardt de </w:t>
      </w:r>
      <w:r w:rsidR="00AF4026">
        <w:rPr>
          <w:rFonts w:eastAsia="Lato" w:cs="Lato"/>
          <w:b/>
          <w:bCs/>
          <w:color w:val="000000" w:themeColor="text1"/>
        </w:rPr>
        <w:t>aanbesteder</w:t>
      </w:r>
      <w:r w:rsidRPr="007810B8">
        <w:rPr>
          <w:rFonts w:eastAsia="Lato" w:cs="Lato"/>
          <w:b/>
          <w:bCs/>
          <w:color w:val="000000" w:themeColor="text1"/>
        </w:rPr>
        <w:t xml:space="preserve"> ook andere geschikte bewijsmiddelen</w:t>
      </w:r>
      <w:r w:rsidRPr="5BCC2480">
        <w:rPr>
          <w:rFonts w:eastAsia="Lato" w:cs="Lato"/>
          <w:color w:val="000000" w:themeColor="text1"/>
        </w:rPr>
        <w:t xml:space="preserve">, mits de betrokken ondernemer aantoont dat de door hem te leveren werken, diensten of leveringen voldoen aan het door de aanbesteder aangegeven specifieke keurmerk of aan de specifieke eisen. </w:t>
      </w:r>
    </w:p>
    <w:p w14:paraId="11A0FB2C" w14:textId="720AA964" w:rsidR="00215C84" w:rsidRDefault="00215C84" w:rsidP="00215C84">
      <w:pPr>
        <w:rPr>
          <w:rFonts w:eastAsia="Lato" w:cs="Lato"/>
          <w:color w:val="000000" w:themeColor="text1"/>
        </w:rPr>
      </w:pPr>
      <w:r w:rsidRPr="00D77746">
        <w:rPr>
          <w:rFonts w:eastAsia="Lato" w:cs="Lato"/>
          <w:b/>
          <w:bCs/>
          <w:color w:val="0070C0"/>
        </w:rPr>
        <w:t xml:space="preserve">Bij opdrachten waarvan de geraamde waarde lager ligt dan de drempel voor Europese bekendmaking, moet de </w:t>
      </w:r>
      <w:r w:rsidR="003A7B7A" w:rsidRPr="00D77746">
        <w:rPr>
          <w:rFonts w:eastAsia="Lato" w:cs="Lato"/>
          <w:b/>
          <w:bCs/>
          <w:color w:val="0070C0"/>
        </w:rPr>
        <w:t>aanbesteder</w:t>
      </w:r>
      <w:r w:rsidRPr="00D77746">
        <w:rPr>
          <w:rFonts w:eastAsia="Lato" w:cs="Lato"/>
          <w:b/>
          <w:bCs/>
          <w:color w:val="0070C0"/>
        </w:rPr>
        <w:t xml:space="preserve"> steeds rekening houden met andere geschikte bewijsmiddelen.</w:t>
      </w:r>
      <w:r w:rsidRPr="00D77746">
        <w:rPr>
          <w:rFonts w:eastAsia="Lato" w:cs="Lato"/>
          <w:color w:val="0070C0"/>
        </w:rPr>
        <w:t xml:space="preserve"> </w:t>
      </w:r>
      <w:r w:rsidRPr="5BCC2480">
        <w:rPr>
          <w:rFonts w:eastAsia="Lato" w:cs="Lato"/>
          <w:color w:val="000000" w:themeColor="text1"/>
        </w:rPr>
        <w:t>Die versoepeling werd voorzien omdat keurmerken steeds proportioneel moeten zijn met het voorwerp van de opdracht, en d</w:t>
      </w:r>
      <w:r w:rsidR="00A67F26">
        <w:rPr>
          <w:rFonts w:eastAsia="Lato" w:cs="Lato"/>
          <w:color w:val="000000" w:themeColor="text1"/>
        </w:rPr>
        <w:t>a</w:t>
      </w:r>
      <w:r w:rsidRPr="5BCC2480">
        <w:rPr>
          <w:rFonts w:eastAsia="Lato" w:cs="Lato"/>
          <w:color w:val="000000" w:themeColor="text1"/>
        </w:rPr>
        <w:t xml:space="preserve">t </w:t>
      </w:r>
      <w:r w:rsidR="00A67F26">
        <w:rPr>
          <w:rFonts w:eastAsia="Lato" w:cs="Lato"/>
          <w:color w:val="000000" w:themeColor="text1"/>
        </w:rPr>
        <w:t xml:space="preserve">om </w:t>
      </w:r>
      <w:r w:rsidRPr="5BCC2480">
        <w:rPr>
          <w:rFonts w:eastAsia="Lato" w:cs="Lato"/>
          <w:color w:val="000000" w:themeColor="text1"/>
        </w:rPr>
        <w:t>onder meer de toegang van kmo’s geenszins te belemmeren.</w:t>
      </w:r>
    </w:p>
    <w:p w14:paraId="67D089D1" w14:textId="6E5586B4" w:rsidR="00215C84" w:rsidRDefault="00215C84" w:rsidP="00215C84">
      <w:pPr>
        <w:rPr>
          <w:rFonts w:eastAsia="Lato" w:cs="Lato"/>
          <w:color w:val="000000" w:themeColor="text1"/>
        </w:rPr>
      </w:pPr>
      <w:r w:rsidRPr="558C568B">
        <w:rPr>
          <w:rFonts w:eastAsia="Lato" w:cs="Lato"/>
          <w:color w:val="000000" w:themeColor="text1"/>
        </w:rPr>
        <w:t>Voor wat betreft certificaten en testverslagen worden door de aanbestedende overheid ook certificaten van andere gelijkwaardige conformiteitsbeoordelingsinstanties aanvaard. Hetzelfde geldt voor andere geschikte bewijsmiddelen, zoals een technisch dossier van de fabrikant, ingeval de betrokken ondernemer geen toegang had tot de bedoelde certificaten of testverslagen of deze niet binnen</w:t>
      </w:r>
      <w:r w:rsidR="00A61D44">
        <w:rPr>
          <w:rFonts w:eastAsia="Lato" w:cs="Lato"/>
          <w:color w:val="000000" w:themeColor="text1"/>
        </w:rPr>
        <w:t xml:space="preserve"> de</w:t>
      </w:r>
      <w:r w:rsidRPr="558C568B">
        <w:rPr>
          <w:rFonts w:eastAsia="Lato" w:cs="Lato"/>
          <w:color w:val="000000" w:themeColor="text1"/>
        </w:rPr>
        <w:t xml:space="preserve"> desbetreffende termijnen kon verkrijgen. Het ontbreken van toegang mag uiteraard niet aan de ondernemer zelf te wijten zijn. Hij moet ook aantonen dat de geleverde werken, leveringen of diensten voldoen aan de voorschriften of criteria van de technische specificaties, de gunningscriteria of de uitvoeringsvoorwaarden van de opdracht.</w:t>
      </w:r>
    </w:p>
    <w:p w14:paraId="46441807" w14:textId="77777777" w:rsidR="00215C84" w:rsidRDefault="00215C84" w:rsidP="00215C84">
      <w:pPr>
        <w:rPr>
          <w:rFonts w:eastAsia="Lato" w:cs="Lato"/>
          <w:color w:val="000000" w:themeColor="text1"/>
        </w:rPr>
      </w:pPr>
      <w:r w:rsidRPr="558C568B">
        <w:rPr>
          <w:rFonts w:eastAsia="Lato" w:cs="Lato"/>
          <w:color w:val="000000" w:themeColor="text1"/>
        </w:rPr>
        <w:t xml:space="preserve">In het kader van kwaliteitsnormen en normen inzake milieubeheer zijn deze </w:t>
      </w:r>
      <w:r w:rsidRPr="558C568B">
        <w:rPr>
          <w:rFonts w:eastAsia="Lato" w:cs="Lato"/>
          <w:i/>
          <w:iCs/>
          <w:color w:val="000000" w:themeColor="text1"/>
        </w:rPr>
        <w:t>in se</w:t>
      </w:r>
      <w:r w:rsidRPr="558C568B">
        <w:rPr>
          <w:rFonts w:eastAsia="Lato" w:cs="Lato"/>
          <w:color w:val="000000" w:themeColor="text1"/>
        </w:rPr>
        <w:t xml:space="preserve"> gebaseerd op Europese normenreeksen of, specifiek voor milieubeheer, het EMAS. De aanbestedende overheid erkent daarom logischerwijs gelijkwaardige certificaten van in andere lidstaten gevestigde instellingen, evenals andere bewijzen inzake gelijkwaardige kwaliteitsgaranties wanneer de betrokken ondernemer die certificaten niet binnen de gestelde termijnen kan verkrijgen die niet aan hem toe te schrijven zijn. De ondernemer levert een duidelijk bewijs af dat de voorgestelde maatregelen op het gebied van de kwaliteitsbewaking aan de kwaliteitsnormen voldoen. </w:t>
      </w:r>
    </w:p>
    <w:p w14:paraId="47D941BA" w14:textId="77777777" w:rsidR="008742B8" w:rsidRPr="00465FC9" w:rsidRDefault="008742B8" w:rsidP="008742B8">
      <w:pPr>
        <w:pStyle w:val="Kop4"/>
        <w:rPr>
          <w:rFonts w:eastAsia="Lato"/>
          <w:lang w:val="nl-BE"/>
        </w:rPr>
      </w:pPr>
      <w:r w:rsidRPr="00465FC9">
        <w:rPr>
          <w:rFonts w:eastAsia="Lato"/>
          <w:lang w:val="nl-BE"/>
        </w:rPr>
        <w:t>Aandachtspunten bij het vastleggen van gunningscriteria</w:t>
      </w:r>
    </w:p>
    <w:p w14:paraId="74BB4553" w14:textId="0ED96425" w:rsidR="008742B8" w:rsidRDefault="008742B8" w:rsidP="008742B8">
      <w:pPr>
        <w:rPr>
          <w:rFonts w:eastAsia="Lato" w:cs="Lato"/>
          <w:color w:val="000000" w:themeColor="text1"/>
        </w:rPr>
      </w:pPr>
      <w:r w:rsidRPr="5E47B54A">
        <w:rPr>
          <w:rFonts w:eastAsia="Lato" w:cs="Lato"/>
          <w:color w:val="000000" w:themeColor="text1"/>
        </w:rPr>
        <w:t xml:space="preserve">Gunningscriteria moeten </w:t>
      </w:r>
      <w:r w:rsidR="009C0A57">
        <w:rPr>
          <w:rFonts w:eastAsia="Lato" w:cs="Lato"/>
          <w:color w:val="000000" w:themeColor="text1"/>
        </w:rPr>
        <w:t xml:space="preserve">dus </w:t>
      </w:r>
      <w:r w:rsidRPr="5E47B54A">
        <w:rPr>
          <w:rFonts w:eastAsia="Lato" w:cs="Lato"/>
          <w:color w:val="000000" w:themeColor="text1"/>
        </w:rPr>
        <w:t xml:space="preserve">verband houden met het voorwerp van de opdracht. Dat verband kan relatief soepel geïnterpreteerd worden en is niet noodzakelijk een rechtstreeks verband. </w:t>
      </w:r>
      <w:r w:rsidRPr="5E47B54A">
        <w:rPr>
          <w:rFonts w:eastAsia="Lato" w:cs="Lato"/>
          <w:b/>
          <w:bCs/>
          <w:color w:val="000000" w:themeColor="text1"/>
        </w:rPr>
        <w:t>Het is wel aangewezen om in de mate van het mogelijke een directe link te leggen tussen de criteria en de technische beschrijving</w:t>
      </w:r>
      <w:r w:rsidRPr="5E47B54A">
        <w:rPr>
          <w:rFonts w:eastAsia="Lato" w:cs="Lato"/>
          <w:color w:val="000000" w:themeColor="text1"/>
        </w:rPr>
        <w:t>; zo kunnen er bijvoorbeeld meer punten gegeven worden als de voorgestelde oplossing van een inschrijver de minimumeisen overschrijdt.</w:t>
      </w:r>
    </w:p>
    <w:p w14:paraId="4F5F694D" w14:textId="5E42D491" w:rsidR="008742B8" w:rsidRDefault="0091336E" w:rsidP="008742B8">
      <w:pPr>
        <w:rPr>
          <w:rFonts w:eastAsia="Lato" w:cs="Lato"/>
          <w:color w:val="000000" w:themeColor="text1"/>
        </w:rPr>
      </w:pPr>
      <w:r>
        <w:rPr>
          <w:rFonts w:eastAsia="Lato" w:cs="Lato"/>
          <w:color w:val="000000" w:themeColor="text1"/>
        </w:rPr>
        <w:t>Daarnaast moeten g</w:t>
      </w:r>
      <w:r w:rsidR="008742B8" w:rsidRPr="558C568B">
        <w:rPr>
          <w:rFonts w:eastAsia="Lato" w:cs="Lato"/>
          <w:color w:val="000000" w:themeColor="text1"/>
        </w:rPr>
        <w:t xml:space="preserve">unningscriteria de mogelijkheid van daadwerkelijke mededinging waarborgen en moeten </w:t>
      </w:r>
      <w:r w:rsidR="00B871BB">
        <w:rPr>
          <w:rFonts w:eastAsia="Lato" w:cs="Lato"/>
          <w:color w:val="000000" w:themeColor="text1"/>
        </w:rPr>
        <w:t xml:space="preserve">zij </w:t>
      </w:r>
      <w:r w:rsidR="008742B8" w:rsidRPr="558C568B">
        <w:rPr>
          <w:rFonts w:eastAsia="Lato" w:cs="Lato"/>
          <w:color w:val="000000" w:themeColor="text1"/>
        </w:rPr>
        <w:t xml:space="preserve">vergezeld gaan van specificaties aan de hand waarvan de door de inschrijvers verstrekte informatie daadwerkelijk kan worden getoetst om te beoordelen in welke mate de offertes aan de gunningscriteria voldoen. Die criteria moeten in de aankondiging van een opdracht of in een ander opdrachtdocument worden vermeld. </w:t>
      </w:r>
    </w:p>
    <w:p w14:paraId="1A579B66" w14:textId="0E759453" w:rsidR="008742B8" w:rsidRDefault="008742B8" w:rsidP="008742B8">
      <w:pPr>
        <w:rPr>
          <w:rFonts w:eastAsia="Lato" w:cs="Lato"/>
          <w:color w:val="000000" w:themeColor="text1"/>
        </w:rPr>
      </w:pPr>
      <w:r w:rsidRPr="007810B8">
        <w:rPr>
          <w:rFonts w:eastAsia="Lato" w:cs="Lato"/>
          <w:b/>
          <w:bCs/>
          <w:color w:val="000000" w:themeColor="text1"/>
        </w:rPr>
        <w:t>Het is dus cruciaal dat de gunningscriteria duidelijk omschreven worden</w:t>
      </w:r>
      <w:r w:rsidRPr="00850A20">
        <w:rPr>
          <w:rFonts w:eastAsia="Lato" w:cs="Lato"/>
          <w:b/>
          <w:bCs/>
          <w:color w:val="000000" w:themeColor="text1"/>
        </w:rPr>
        <w:t>.</w:t>
      </w:r>
      <w:r w:rsidRPr="5BCC2480">
        <w:rPr>
          <w:rFonts w:eastAsia="Lato" w:cs="Lato"/>
          <w:color w:val="000000" w:themeColor="text1"/>
        </w:rPr>
        <w:t xml:space="preserve"> Een illustratie hiervan betreft het gebruik van </w:t>
      </w:r>
      <w:r w:rsidR="00161E21">
        <w:rPr>
          <w:rFonts w:eastAsia="Lato" w:cs="Lato"/>
          <w:color w:val="000000" w:themeColor="text1"/>
        </w:rPr>
        <w:t xml:space="preserve">heel ruime </w:t>
      </w:r>
      <w:r w:rsidRPr="5BCC2480">
        <w:rPr>
          <w:rFonts w:eastAsia="Lato" w:cs="Lato"/>
          <w:color w:val="000000" w:themeColor="text1"/>
        </w:rPr>
        <w:t xml:space="preserve">concepten zoals </w:t>
      </w:r>
      <w:r>
        <w:rPr>
          <w:rFonts w:eastAsia="Lato" w:cs="Lato"/>
          <w:color w:val="000000" w:themeColor="text1"/>
        </w:rPr>
        <w:t>“</w:t>
      </w:r>
      <w:r w:rsidRPr="5BCC2480">
        <w:rPr>
          <w:rFonts w:eastAsia="Lato" w:cs="Lato"/>
          <w:color w:val="000000" w:themeColor="text1"/>
        </w:rPr>
        <w:t>duurzaamheid</w:t>
      </w:r>
      <w:r>
        <w:rPr>
          <w:rFonts w:eastAsia="Lato" w:cs="Lato"/>
          <w:color w:val="000000" w:themeColor="text1"/>
        </w:rPr>
        <w:t>”</w:t>
      </w:r>
      <w:r w:rsidRPr="5BCC2480">
        <w:rPr>
          <w:rFonts w:eastAsia="Lato" w:cs="Lato"/>
          <w:color w:val="000000" w:themeColor="text1"/>
        </w:rPr>
        <w:t xml:space="preserve"> of </w:t>
      </w:r>
      <w:r>
        <w:rPr>
          <w:rFonts w:eastAsia="Lato" w:cs="Lato"/>
          <w:color w:val="000000" w:themeColor="text1"/>
        </w:rPr>
        <w:t>”</w:t>
      </w:r>
      <w:r w:rsidRPr="5BCC2480">
        <w:rPr>
          <w:rFonts w:eastAsia="Lato" w:cs="Lato"/>
          <w:color w:val="000000" w:themeColor="text1"/>
        </w:rPr>
        <w:t>kwaliteit</w:t>
      </w:r>
      <w:r>
        <w:rPr>
          <w:rFonts w:eastAsia="Lato" w:cs="Lato"/>
          <w:color w:val="000000" w:themeColor="text1"/>
        </w:rPr>
        <w:t>”.</w:t>
      </w:r>
      <w:r w:rsidRPr="5BCC2480">
        <w:rPr>
          <w:rFonts w:eastAsia="Lato" w:cs="Lato"/>
          <w:color w:val="000000" w:themeColor="text1"/>
        </w:rPr>
        <w:t xml:space="preserve"> </w:t>
      </w:r>
      <w:r w:rsidRPr="00C62610">
        <w:rPr>
          <w:rFonts w:eastAsia="Lato" w:cs="Lato"/>
          <w:color w:val="000000" w:themeColor="text1"/>
        </w:rPr>
        <w:t>Dergelijke criteria moeten zo concreet mogelijk geformuleerd worden.</w:t>
      </w:r>
      <w:r w:rsidRPr="5BCC2480">
        <w:rPr>
          <w:rFonts w:eastAsia="Lato" w:cs="Lato"/>
          <w:color w:val="000000" w:themeColor="text1"/>
        </w:rPr>
        <w:t xml:space="preserve"> Voorbeelden van</w:t>
      </w:r>
      <w:r w:rsidR="00147F2E">
        <w:rPr>
          <w:rFonts w:eastAsia="Lato" w:cs="Lato"/>
          <w:color w:val="000000" w:themeColor="text1"/>
        </w:rPr>
        <w:t xml:space="preserve"> bijvoorbeeld</w:t>
      </w:r>
      <w:r w:rsidRPr="5BCC2480">
        <w:rPr>
          <w:rFonts w:eastAsia="Lato" w:cs="Lato"/>
          <w:color w:val="000000" w:themeColor="text1"/>
        </w:rPr>
        <w:t xml:space="preserve"> duurzame gunningscriteria (inzake milieu) zijn onder andere:</w:t>
      </w:r>
    </w:p>
    <w:p w14:paraId="2DF1452A" w14:textId="318A76B5" w:rsidR="008742B8" w:rsidRPr="008742B8" w:rsidRDefault="008742B8">
      <w:pPr>
        <w:pStyle w:val="Bullet1"/>
        <w:rPr>
          <w:lang w:val="nl-BE"/>
        </w:rPr>
      </w:pPr>
      <w:r w:rsidRPr="008742B8">
        <w:rPr>
          <w:lang w:val="nl-BE"/>
        </w:rPr>
        <w:t>als minimumeis bepalen dat het te leveren papier voor minstens X % uit gerecycleerde papiervezels bestaat. Via een gunningscriterium worden er dan bijvoorbeeld punten toegekend voor elke 5 % dat het minimumpercentage wordt overtroffen</w:t>
      </w:r>
      <w:r>
        <w:rPr>
          <w:lang w:val="nl-BE"/>
        </w:rPr>
        <w:t>;</w:t>
      </w:r>
    </w:p>
    <w:p w14:paraId="1BF71D13" w14:textId="0E1DCECB" w:rsidR="008742B8" w:rsidRPr="008742B8" w:rsidRDefault="008742B8">
      <w:pPr>
        <w:pStyle w:val="Bullet1"/>
        <w:rPr>
          <w:lang w:val="nl-BE"/>
        </w:rPr>
      </w:pPr>
      <w:r w:rsidRPr="008742B8">
        <w:rPr>
          <w:lang w:val="nl-BE"/>
        </w:rPr>
        <w:t>printers die apart vervangbare kleurenpatronen hebben en dubbelzijdig kunnen afdrukken krijgen een betere score</w:t>
      </w:r>
      <w:r>
        <w:rPr>
          <w:lang w:val="nl-BE"/>
        </w:rPr>
        <w:t>;</w:t>
      </w:r>
    </w:p>
    <w:p w14:paraId="722319F2" w14:textId="4C564EF4" w:rsidR="008742B8" w:rsidRPr="008742B8" w:rsidRDefault="008742B8">
      <w:pPr>
        <w:pStyle w:val="Bullet1"/>
        <w:rPr>
          <w:lang w:val="nl-BE"/>
        </w:rPr>
      </w:pPr>
      <w:r w:rsidRPr="008742B8">
        <w:rPr>
          <w:lang w:val="nl-BE"/>
        </w:rPr>
        <w:t>voor de aankoop van personenwagens wordt een Ecoscore van Y</w:t>
      </w:r>
      <w:r w:rsidR="005D56F0">
        <w:rPr>
          <w:lang w:val="nl-BE"/>
        </w:rPr>
        <w:t xml:space="preserve"> punten</w:t>
      </w:r>
      <w:r w:rsidRPr="008742B8">
        <w:rPr>
          <w:lang w:val="nl-BE"/>
        </w:rPr>
        <w:t xml:space="preserve"> vereist. Hogere scores worden beloond met extra punten</w:t>
      </w:r>
      <w:r>
        <w:rPr>
          <w:lang w:val="nl-BE"/>
        </w:rPr>
        <w:t>;</w:t>
      </w:r>
    </w:p>
    <w:p w14:paraId="47A75405" w14:textId="292BD316" w:rsidR="008742B8" w:rsidRPr="008742B8" w:rsidRDefault="008742B8">
      <w:pPr>
        <w:pStyle w:val="Bullet1"/>
        <w:rPr>
          <w:lang w:val="nl-BE"/>
        </w:rPr>
      </w:pPr>
      <w:r w:rsidRPr="008742B8">
        <w:rPr>
          <w:lang w:val="nl-BE"/>
        </w:rPr>
        <w:t xml:space="preserve">indien meer producten worden aangeboden van biologische oorsprong dan minimaal vereist in de technische specificaties, </w:t>
      </w:r>
      <w:r w:rsidR="00722832">
        <w:rPr>
          <w:lang w:val="nl-BE"/>
        </w:rPr>
        <w:t>worden</w:t>
      </w:r>
      <w:r w:rsidR="00722832" w:rsidRPr="008742B8">
        <w:rPr>
          <w:lang w:val="nl-BE"/>
        </w:rPr>
        <w:t xml:space="preserve"> </w:t>
      </w:r>
      <w:r w:rsidRPr="008742B8">
        <w:rPr>
          <w:lang w:val="nl-BE"/>
        </w:rPr>
        <w:t>extra punten toegekend.</w:t>
      </w:r>
    </w:p>
    <w:p w14:paraId="3290B44D" w14:textId="193661E5" w:rsidR="002B104B" w:rsidRDefault="002B104B" w:rsidP="008742B8">
      <w:pPr>
        <w:rPr>
          <w:rFonts w:eastAsia="Lato" w:cs="Lato"/>
          <w:color w:val="000000" w:themeColor="text1"/>
        </w:rPr>
      </w:pPr>
      <w:r>
        <w:rPr>
          <w:rFonts w:eastAsia="Lato" w:cs="Lato"/>
          <w:color w:val="000000" w:themeColor="text1"/>
        </w:rPr>
        <w:lastRenderedPageBreak/>
        <w:t xml:space="preserve">Merken we ook op </w:t>
      </w:r>
      <w:r w:rsidR="007D1F92">
        <w:rPr>
          <w:rFonts w:eastAsia="Lato" w:cs="Lato"/>
          <w:color w:val="000000" w:themeColor="text1"/>
        </w:rPr>
        <w:t>dat de beoordeling van offertes aan de hand van gunningscriteria</w:t>
      </w:r>
      <w:r w:rsidR="00D13B1B">
        <w:rPr>
          <w:rFonts w:eastAsia="Lato" w:cs="Lato"/>
          <w:color w:val="000000" w:themeColor="text1"/>
        </w:rPr>
        <w:t xml:space="preserve"> niet alleen een kwantitatieve aangelegenheid is, maar ook kwalitatief</w:t>
      </w:r>
      <w:r w:rsidR="00602042">
        <w:rPr>
          <w:rFonts w:eastAsia="Lato" w:cs="Lato"/>
          <w:color w:val="000000" w:themeColor="text1"/>
        </w:rPr>
        <w:t xml:space="preserve"> kan verlopen</w:t>
      </w:r>
      <w:r w:rsidR="00E24C2F">
        <w:rPr>
          <w:rFonts w:eastAsia="Lato" w:cs="Lato"/>
          <w:color w:val="000000" w:themeColor="text1"/>
        </w:rPr>
        <w:t>, namelijk aan de hand van een beschrijvende b</w:t>
      </w:r>
      <w:r w:rsidR="00534ABF">
        <w:rPr>
          <w:rFonts w:eastAsia="Lato" w:cs="Lato"/>
          <w:color w:val="000000" w:themeColor="text1"/>
        </w:rPr>
        <w:t>e</w:t>
      </w:r>
      <w:r w:rsidR="00E24C2F">
        <w:rPr>
          <w:rFonts w:eastAsia="Lato" w:cs="Lato"/>
          <w:color w:val="000000" w:themeColor="text1"/>
        </w:rPr>
        <w:t xml:space="preserve">oordeling. </w:t>
      </w:r>
    </w:p>
    <w:p w14:paraId="794F2E70" w14:textId="363BE36E" w:rsidR="008742B8" w:rsidRDefault="008742B8" w:rsidP="008742B8">
      <w:pPr>
        <w:rPr>
          <w:rFonts w:eastAsia="Lato" w:cs="Lato"/>
          <w:color w:val="000000" w:themeColor="text1"/>
        </w:rPr>
      </w:pPr>
      <w:r w:rsidRPr="558C568B">
        <w:rPr>
          <w:rFonts w:eastAsia="Lato" w:cs="Lato"/>
          <w:color w:val="000000" w:themeColor="text1"/>
        </w:rPr>
        <w:t xml:space="preserve">Met </w:t>
      </w:r>
      <w:r w:rsidR="00722832">
        <w:rPr>
          <w:rFonts w:eastAsia="Lato" w:cs="Lato"/>
          <w:color w:val="000000" w:themeColor="text1"/>
        </w:rPr>
        <w:t xml:space="preserve">de toegang van </w:t>
      </w:r>
      <w:r w:rsidRPr="558C568B">
        <w:rPr>
          <w:rFonts w:eastAsia="Lato" w:cs="Lato"/>
          <w:color w:val="000000" w:themeColor="text1"/>
        </w:rPr>
        <w:t>kmo</w:t>
      </w:r>
      <w:r>
        <w:rPr>
          <w:rFonts w:eastAsia="Lato" w:cs="Lato"/>
          <w:color w:val="000000" w:themeColor="text1"/>
        </w:rPr>
        <w:t>’</w:t>
      </w:r>
      <w:r w:rsidRPr="558C568B">
        <w:rPr>
          <w:rFonts w:eastAsia="Lato" w:cs="Lato"/>
          <w:color w:val="000000" w:themeColor="text1"/>
        </w:rPr>
        <w:t>s</w:t>
      </w:r>
      <w:r>
        <w:rPr>
          <w:rFonts w:eastAsia="Lato" w:cs="Lato"/>
          <w:color w:val="000000" w:themeColor="text1"/>
        </w:rPr>
        <w:t xml:space="preserve"> in het achterhoofd</w:t>
      </w:r>
      <w:r w:rsidRPr="558C568B">
        <w:rPr>
          <w:rFonts w:eastAsia="Lato" w:cs="Lato"/>
          <w:color w:val="000000" w:themeColor="text1"/>
        </w:rPr>
        <w:t xml:space="preserve"> dient het tot slot benadrukt te worden dat </w:t>
      </w:r>
      <w:r w:rsidRPr="007810B8">
        <w:rPr>
          <w:rFonts w:eastAsia="Lato" w:cs="Lato"/>
          <w:b/>
          <w:bCs/>
          <w:color w:val="000000" w:themeColor="text1"/>
        </w:rPr>
        <w:t xml:space="preserve">het formuleren van meerdere gunningscriteria niet automatisch </w:t>
      </w:r>
      <w:r>
        <w:rPr>
          <w:rFonts w:eastAsia="Lato" w:cs="Lato"/>
          <w:b/>
          <w:bCs/>
          <w:color w:val="000000" w:themeColor="text1"/>
        </w:rPr>
        <w:t xml:space="preserve">iets positief is en/of </w:t>
      </w:r>
      <w:r w:rsidRPr="007810B8">
        <w:rPr>
          <w:rFonts w:eastAsia="Lato" w:cs="Lato"/>
          <w:b/>
          <w:bCs/>
          <w:color w:val="000000" w:themeColor="text1"/>
        </w:rPr>
        <w:t>tot een hogere kmo-participatie zal leiden</w:t>
      </w:r>
      <w:r w:rsidRPr="558C568B">
        <w:rPr>
          <w:rFonts w:eastAsia="Lato" w:cs="Lato"/>
          <w:color w:val="000000" w:themeColor="text1"/>
        </w:rPr>
        <w:t xml:space="preserve">. </w:t>
      </w:r>
    </w:p>
    <w:p w14:paraId="6DB56ABB" w14:textId="0A1F2213" w:rsidR="008742B8" w:rsidRDefault="008742B8" w:rsidP="008742B8">
      <w:pPr>
        <w:rPr>
          <w:rFonts w:eastAsia="Lato" w:cs="Lato"/>
          <w:color w:val="000000" w:themeColor="text1"/>
        </w:rPr>
      </w:pPr>
      <w:r w:rsidRPr="558C568B">
        <w:rPr>
          <w:rFonts w:eastAsia="Lato" w:cs="Lato"/>
          <w:color w:val="000000" w:themeColor="text1"/>
        </w:rPr>
        <w:t xml:space="preserve">Er moet </w:t>
      </w:r>
      <w:r>
        <w:rPr>
          <w:rFonts w:eastAsia="Lato" w:cs="Lato"/>
          <w:color w:val="000000" w:themeColor="text1"/>
        </w:rPr>
        <w:t xml:space="preserve">immers </w:t>
      </w:r>
      <w:r w:rsidRPr="558C568B">
        <w:rPr>
          <w:rFonts w:eastAsia="Lato" w:cs="Lato"/>
          <w:color w:val="000000" w:themeColor="text1"/>
        </w:rPr>
        <w:t>een goede reden zijn voor het gebruik van meerdere gunningscriteria, evenals de manier waarop d</w:t>
      </w:r>
      <w:r>
        <w:rPr>
          <w:rFonts w:eastAsia="Lato" w:cs="Lato"/>
          <w:color w:val="000000" w:themeColor="text1"/>
        </w:rPr>
        <w:t>i</w:t>
      </w:r>
      <w:r w:rsidRPr="558C568B">
        <w:rPr>
          <w:rFonts w:eastAsia="Lato" w:cs="Lato"/>
          <w:color w:val="000000" w:themeColor="text1"/>
        </w:rPr>
        <w:t xml:space="preserve">e geëvalueerd worden. In de praktijk </w:t>
      </w:r>
      <w:r>
        <w:rPr>
          <w:rFonts w:eastAsia="Lato" w:cs="Lato"/>
          <w:color w:val="000000" w:themeColor="text1"/>
        </w:rPr>
        <w:t>verwijzen we</w:t>
      </w:r>
      <w:r w:rsidRPr="558C568B">
        <w:rPr>
          <w:rFonts w:eastAsia="Lato" w:cs="Lato"/>
          <w:color w:val="000000" w:themeColor="text1"/>
        </w:rPr>
        <w:t xml:space="preserve"> hier</w:t>
      </w:r>
      <w:r>
        <w:rPr>
          <w:rFonts w:eastAsia="Lato" w:cs="Lato"/>
          <w:color w:val="000000" w:themeColor="text1"/>
        </w:rPr>
        <w:t xml:space="preserve"> dan</w:t>
      </w:r>
      <w:r w:rsidRPr="558C568B">
        <w:rPr>
          <w:rFonts w:eastAsia="Lato" w:cs="Lato"/>
          <w:color w:val="000000" w:themeColor="text1"/>
        </w:rPr>
        <w:t xml:space="preserve"> </w:t>
      </w:r>
      <w:r w:rsidR="001C3E04">
        <w:rPr>
          <w:rFonts w:eastAsia="Lato" w:cs="Lato"/>
          <w:color w:val="000000" w:themeColor="text1"/>
        </w:rPr>
        <w:t>voornamelijk</w:t>
      </w:r>
      <w:r w:rsidR="001C3E04" w:rsidRPr="558C568B">
        <w:rPr>
          <w:rFonts w:eastAsia="Lato" w:cs="Lato"/>
          <w:color w:val="000000" w:themeColor="text1"/>
        </w:rPr>
        <w:t xml:space="preserve"> </w:t>
      </w:r>
      <w:r>
        <w:rPr>
          <w:rFonts w:eastAsia="Lato" w:cs="Lato"/>
          <w:color w:val="000000" w:themeColor="text1"/>
        </w:rPr>
        <w:t>naar</w:t>
      </w:r>
      <w:r w:rsidRPr="558C568B">
        <w:rPr>
          <w:rFonts w:eastAsia="Lato" w:cs="Lato"/>
          <w:color w:val="000000" w:themeColor="text1"/>
        </w:rPr>
        <w:t xml:space="preserve"> gestandaardiseerde producten of producten die nauwkeurig beschreven zijn (cf. infra). In deze gevallen is de toevoeging van andere criteria, naast de prijs of kosten, weinig zinvol en </w:t>
      </w:r>
      <w:r>
        <w:rPr>
          <w:rFonts w:eastAsia="Lato" w:cs="Lato"/>
          <w:color w:val="000000" w:themeColor="text1"/>
        </w:rPr>
        <w:t>zullen</w:t>
      </w:r>
      <w:r w:rsidRPr="558C568B">
        <w:rPr>
          <w:rFonts w:eastAsia="Lato" w:cs="Lato"/>
          <w:color w:val="000000" w:themeColor="text1"/>
        </w:rPr>
        <w:t xml:space="preserve"> d</w:t>
      </w:r>
      <w:r>
        <w:rPr>
          <w:rFonts w:eastAsia="Lato" w:cs="Lato"/>
          <w:color w:val="000000" w:themeColor="text1"/>
        </w:rPr>
        <w:t>i</w:t>
      </w:r>
      <w:r w:rsidRPr="558C568B">
        <w:rPr>
          <w:rFonts w:eastAsia="Lato" w:cs="Lato"/>
          <w:color w:val="000000" w:themeColor="text1"/>
        </w:rPr>
        <w:t xml:space="preserve">e de toegang van kmo’s weinig of niet </w:t>
      </w:r>
      <w:r>
        <w:rPr>
          <w:rFonts w:eastAsia="Lato" w:cs="Lato"/>
          <w:color w:val="000000" w:themeColor="text1"/>
        </w:rPr>
        <w:t>faciliteren</w:t>
      </w:r>
      <w:r w:rsidRPr="558C568B">
        <w:rPr>
          <w:rFonts w:eastAsia="Lato" w:cs="Lato"/>
          <w:color w:val="000000" w:themeColor="text1"/>
        </w:rPr>
        <w:t>.</w:t>
      </w:r>
    </w:p>
    <w:p w14:paraId="37B2819F" w14:textId="3883D647" w:rsidR="00A15F15" w:rsidRPr="00A15F15" w:rsidRDefault="00A15F15">
      <w:pPr>
        <w:pStyle w:val="Kop3"/>
        <w:rPr>
          <w:rFonts w:eastAsia="Lato"/>
        </w:rPr>
      </w:pPr>
      <w:bookmarkStart w:id="156" w:name="_Toc135839995"/>
      <w:bookmarkStart w:id="157" w:name="_Toc150870600"/>
      <w:r w:rsidRPr="00A15F15">
        <w:rPr>
          <w:rFonts w:eastAsia="Lato"/>
        </w:rPr>
        <w:t>De economisch meest voordelige offerte (EMVO)</w:t>
      </w:r>
      <w:bookmarkEnd w:id="156"/>
      <w:bookmarkEnd w:id="157"/>
    </w:p>
    <w:p w14:paraId="56237B04" w14:textId="77777777" w:rsidR="00A15F15" w:rsidRPr="000B25E2" w:rsidRDefault="00A15F15" w:rsidP="00A15F15">
      <w:pPr>
        <w:rPr>
          <w:rFonts w:eastAsia="Lato" w:cs="Lato"/>
          <w:color w:val="000000" w:themeColor="text1"/>
        </w:rPr>
      </w:pPr>
      <w:r w:rsidRPr="3273CE1F">
        <w:rPr>
          <w:rFonts w:eastAsia="Lato" w:cs="Lato"/>
          <w:color w:val="000000" w:themeColor="text1"/>
        </w:rPr>
        <w:t>Het begrip “</w:t>
      </w:r>
      <w:r>
        <w:rPr>
          <w:rFonts w:eastAsia="Lato" w:cs="Lato"/>
          <w:color w:val="000000" w:themeColor="text1"/>
        </w:rPr>
        <w:t xml:space="preserve">economisch </w:t>
      </w:r>
      <w:r w:rsidRPr="3273CE1F">
        <w:rPr>
          <w:rFonts w:eastAsia="Lato" w:cs="Lato"/>
          <w:color w:val="000000" w:themeColor="text1"/>
        </w:rPr>
        <w:t xml:space="preserve">meest voordelige offerte” </w:t>
      </w:r>
      <w:r>
        <w:rPr>
          <w:rFonts w:eastAsia="Lato" w:cs="Lato"/>
          <w:color w:val="000000" w:themeColor="text1"/>
        </w:rPr>
        <w:t>kent een ruime betekenis</w:t>
      </w:r>
      <w:r w:rsidRPr="3273CE1F">
        <w:rPr>
          <w:rFonts w:eastAsia="Lato" w:cs="Lato"/>
          <w:color w:val="000000" w:themeColor="text1"/>
        </w:rPr>
        <w:t xml:space="preserve">. Enerzijds is het kostencriterium (2°) ruimer dan het prijscriterium (1°). Het omvat immers zowel de prijs als andere economische kosten verbonden aan aankoop en eigendom. Anderzijds omvat het criterium </w:t>
      </w:r>
      <w:r>
        <w:rPr>
          <w:rFonts w:eastAsia="Lato" w:cs="Lato"/>
          <w:color w:val="000000" w:themeColor="text1"/>
        </w:rPr>
        <w:t>over</w:t>
      </w:r>
      <w:r w:rsidRPr="3273CE1F">
        <w:rPr>
          <w:rFonts w:eastAsia="Lato" w:cs="Lato"/>
          <w:color w:val="000000" w:themeColor="text1"/>
        </w:rPr>
        <w:t xml:space="preserve"> de beste prijs-kwaliteitsverhouding (3°), de prijs of de kosten, alsook andere criteria, waaronder kwalitatieve, milieu- en/of sociale aspecten, die verband houden met het voorwerp van de betrokken opdracht. Dat betekent dat de criteria het ene, het andere of de drie voornoemde aspecten kunnen omvatten. </w:t>
      </w:r>
    </w:p>
    <w:p w14:paraId="2A332285" w14:textId="77777777" w:rsidR="00A15F15" w:rsidRDefault="00A15F15" w:rsidP="00A15F15">
      <w:pPr>
        <w:rPr>
          <w:rFonts w:eastAsia="Lato" w:cs="Lato"/>
        </w:rPr>
      </w:pPr>
      <w:r w:rsidRPr="3273CE1F">
        <w:rPr>
          <w:rFonts w:eastAsia="Lato" w:cs="Lato"/>
        </w:rPr>
        <w:t xml:space="preserve">Wanneer </w:t>
      </w:r>
      <w:r>
        <w:rPr>
          <w:rFonts w:eastAsia="Lato" w:cs="Lato"/>
        </w:rPr>
        <w:t>meerdere</w:t>
      </w:r>
      <w:r w:rsidRPr="3273CE1F">
        <w:rPr>
          <w:rFonts w:eastAsia="Lato" w:cs="Lato"/>
        </w:rPr>
        <w:t xml:space="preserve"> regelmatige offertes in gelijke mate als economisch meest voordelige worden beschouwd, vraagt de </w:t>
      </w:r>
      <w:r>
        <w:rPr>
          <w:rFonts w:eastAsia="Lato" w:cs="Lato"/>
        </w:rPr>
        <w:t>aanbesteder</w:t>
      </w:r>
      <w:r w:rsidRPr="3273CE1F">
        <w:rPr>
          <w:rFonts w:eastAsia="Lato" w:cs="Lato"/>
        </w:rPr>
        <w:t xml:space="preserve"> de inschrijvers in kwestie met het oog op een beslissing schriftelijke prijsverminderingen of verbeteringsvoorstellen voor hun offerte in te dienen. Zijn de offertes daarna nog </w:t>
      </w:r>
      <w:r>
        <w:rPr>
          <w:rFonts w:eastAsia="Lato" w:cs="Lato"/>
        </w:rPr>
        <w:t xml:space="preserve">steeds </w:t>
      </w:r>
      <w:r w:rsidRPr="3273CE1F">
        <w:rPr>
          <w:rFonts w:eastAsia="Lato" w:cs="Lato"/>
        </w:rPr>
        <w:t xml:space="preserve">gelijkwaardig, dan houdt de </w:t>
      </w:r>
      <w:r>
        <w:rPr>
          <w:rFonts w:eastAsia="Lato" w:cs="Lato"/>
        </w:rPr>
        <w:t>aanbesteder</w:t>
      </w:r>
      <w:r w:rsidRPr="3273CE1F">
        <w:rPr>
          <w:rFonts w:eastAsia="Lato" w:cs="Lato"/>
        </w:rPr>
        <w:t xml:space="preserve"> een loting waartoe de betrokkenen worden uitgenodigd.</w:t>
      </w:r>
    </w:p>
    <w:p w14:paraId="06C00889" w14:textId="77777777" w:rsidR="00A15F15" w:rsidRPr="00465FC9" w:rsidRDefault="00A15F15" w:rsidP="00A15F15">
      <w:pPr>
        <w:pStyle w:val="Kop4"/>
        <w:rPr>
          <w:rFonts w:eastAsia="Lato"/>
          <w:lang w:val="nl-BE"/>
        </w:rPr>
      </w:pPr>
      <w:r w:rsidRPr="00465FC9">
        <w:rPr>
          <w:rFonts w:eastAsia="Lato"/>
          <w:lang w:val="nl-BE"/>
        </w:rPr>
        <w:t>Gunnen op basis van de laagste prijs</w:t>
      </w:r>
    </w:p>
    <w:p w14:paraId="10141670" w14:textId="0E042968" w:rsidR="00A15F15" w:rsidRDefault="00A15F15" w:rsidP="00A15F15">
      <w:pPr>
        <w:rPr>
          <w:rFonts w:eastAsia="Lato" w:cs="Lato"/>
          <w:color w:val="000000" w:themeColor="text1"/>
        </w:rPr>
      </w:pPr>
      <w:r w:rsidRPr="3273CE1F">
        <w:rPr>
          <w:rFonts w:eastAsia="Lato" w:cs="Lato"/>
          <w:color w:val="000000" w:themeColor="text1"/>
        </w:rPr>
        <w:t xml:space="preserve">De keuze waarop de </w:t>
      </w:r>
      <w:r w:rsidR="001E0793">
        <w:rPr>
          <w:rFonts w:eastAsia="Lato" w:cs="Lato"/>
          <w:color w:val="000000" w:themeColor="text1"/>
        </w:rPr>
        <w:t>aanbesteder</w:t>
      </w:r>
      <w:r w:rsidRPr="3273CE1F">
        <w:rPr>
          <w:rFonts w:eastAsia="Lato" w:cs="Lato"/>
          <w:color w:val="000000" w:themeColor="text1"/>
        </w:rPr>
        <w:t xml:space="preserve"> de economisch meest voordelige offerte vaststelt, moet weloverwogen gebeuren en een meerwaarde bieden voor de opdracht. Vanzelfsprekend kunnen bepaalde opdrachten nog </w:t>
      </w:r>
      <w:r>
        <w:rPr>
          <w:rFonts w:eastAsia="Lato" w:cs="Lato"/>
          <w:color w:val="000000" w:themeColor="text1"/>
        </w:rPr>
        <w:t xml:space="preserve">steeds </w:t>
      </w:r>
      <w:r w:rsidRPr="3273CE1F">
        <w:rPr>
          <w:rFonts w:eastAsia="Lato" w:cs="Lato"/>
          <w:color w:val="000000" w:themeColor="text1"/>
        </w:rPr>
        <w:t xml:space="preserve">worden gegund enkel en alleen op basis van het criterium “prijs”. </w:t>
      </w:r>
    </w:p>
    <w:p w14:paraId="6DAD6FAC" w14:textId="1867195B" w:rsidR="00A15F15" w:rsidRDefault="00A15F15" w:rsidP="00A15F15">
      <w:pPr>
        <w:rPr>
          <w:rFonts w:eastAsia="Lato" w:cs="Lato"/>
          <w:color w:val="000000" w:themeColor="text1"/>
        </w:rPr>
      </w:pPr>
      <w:r w:rsidRPr="5E47B54A">
        <w:rPr>
          <w:rFonts w:eastAsia="Lato" w:cs="Lato"/>
          <w:color w:val="000000" w:themeColor="text1"/>
        </w:rPr>
        <w:t xml:space="preserve">In de praktijk wordt er nog vaak geopteerd voor het criterium van de laagste prijs omwille van </w:t>
      </w:r>
      <w:r w:rsidR="00D510C7">
        <w:rPr>
          <w:rFonts w:eastAsia="Lato" w:cs="Lato"/>
          <w:color w:val="000000" w:themeColor="text1"/>
        </w:rPr>
        <w:t>onder meer volgende</w:t>
      </w:r>
      <w:r w:rsidR="00D510C7" w:rsidRPr="5E47B54A">
        <w:rPr>
          <w:rFonts w:eastAsia="Lato" w:cs="Lato"/>
          <w:color w:val="000000" w:themeColor="text1"/>
        </w:rPr>
        <w:t xml:space="preserve"> </w:t>
      </w:r>
      <w:r w:rsidRPr="5E47B54A">
        <w:rPr>
          <w:rFonts w:eastAsia="Lato" w:cs="Lato"/>
          <w:color w:val="000000" w:themeColor="text1"/>
        </w:rPr>
        <w:t xml:space="preserve">redenen: de prijs is een gekend criterium, is </w:t>
      </w:r>
      <w:r w:rsidR="002819ED">
        <w:rPr>
          <w:rFonts w:eastAsia="Lato" w:cs="Lato"/>
          <w:color w:val="000000" w:themeColor="text1"/>
        </w:rPr>
        <w:t>ge</w:t>
      </w:r>
      <w:r w:rsidRPr="5E47B54A">
        <w:rPr>
          <w:rFonts w:eastAsia="Lato" w:cs="Lato"/>
          <w:color w:val="000000" w:themeColor="text1"/>
        </w:rPr>
        <w:t xml:space="preserve">makkelijk voor te stellen als “objectief”, vraagt vaak minder tijd om uit te werken in vergelijking met andere criteria en geeft minder snel aanleiding tot geschillen. Niet elk van voorgaande redenen is evenwel een goede reden om de keuze inzake gunningscriteria op te baseren. </w:t>
      </w:r>
    </w:p>
    <w:p w14:paraId="31A20109" w14:textId="77777777" w:rsidR="00A15F15" w:rsidRDefault="00A15F15" w:rsidP="00A15F15">
      <w:pPr>
        <w:rPr>
          <w:rFonts w:eastAsia="Lato" w:cs="Lato"/>
          <w:color w:val="000000" w:themeColor="text1"/>
        </w:rPr>
      </w:pPr>
      <w:r w:rsidRPr="00B13585">
        <w:rPr>
          <w:rFonts w:eastAsia="Lato" w:cs="Lato"/>
          <w:b/>
          <w:bCs/>
          <w:color w:val="000000" w:themeColor="text1"/>
        </w:rPr>
        <w:t>Voor sommige opdrachten is het echter moeilijk of niet opportuun om andere gunningscriteria te voorzien.</w:t>
      </w:r>
      <w:r w:rsidRPr="3273CE1F">
        <w:rPr>
          <w:rFonts w:eastAsia="Lato" w:cs="Lato"/>
          <w:color w:val="000000" w:themeColor="text1"/>
        </w:rPr>
        <w:t xml:space="preserve"> De aanbesteder moet daarbij rekening houden met de specificiteit van de sector. Zo kan het in bijvoorbeeld de bouwsector aangewezen zijn om </w:t>
      </w:r>
      <w:r w:rsidRPr="3273CE1F">
        <w:rPr>
          <w:rFonts w:eastAsia="Lato" w:cs="Lato"/>
          <w:i/>
          <w:iCs/>
          <w:color w:val="000000" w:themeColor="text1"/>
        </w:rPr>
        <w:t xml:space="preserve">off-the-shelf </w:t>
      </w:r>
      <w:r w:rsidRPr="3273CE1F">
        <w:rPr>
          <w:rFonts w:eastAsia="Lato" w:cs="Lato"/>
          <w:color w:val="000000" w:themeColor="text1"/>
        </w:rPr>
        <w:t xml:space="preserve">producten te gunnen op basis van de laagste prijs. </w:t>
      </w:r>
      <w:r>
        <w:rPr>
          <w:rFonts w:eastAsia="Lato" w:cs="Lato"/>
          <w:color w:val="000000" w:themeColor="text1"/>
        </w:rPr>
        <w:t>Hetzelfde geldt voor</w:t>
      </w:r>
      <w:r w:rsidRPr="3273CE1F">
        <w:rPr>
          <w:rFonts w:eastAsia="Lato" w:cs="Lato"/>
          <w:color w:val="000000" w:themeColor="text1"/>
        </w:rPr>
        <w:t xml:space="preserve"> projecten die de aanbesteder vooraf tot in het detail heeft uitgewerkt en waarbij de mededinging </w:t>
      </w:r>
      <w:r w:rsidRPr="3273CE1F">
        <w:rPr>
          <w:rFonts w:eastAsia="Lato" w:cs="Lato"/>
          <w:i/>
          <w:iCs/>
          <w:color w:val="000000" w:themeColor="text1"/>
        </w:rPr>
        <w:t xml:space="preserve">de facto </w:t>
      </w:r>
      <w:r w:rsidRPr="3273CE1F">
        <w:rPr>
          <w:rFonts w:eastAsia="Lato" w:cs="Lato"/>
          <w:color w:val="000000" w:themeColor="text1"/>
        </w:rPr>
        <w:t>gereduceerd is tot de prijs.</w:t>
      </w:r>
    </w:p>
    <w:p w14:paraId="2F0E914F" w14:textId="77777777" w:rsidR="00A15F15" w:rsidRDefault="00A15F15" w:rsidP="00A15F15">
      <w:pPr>
        <w:rPr>
          <w:rFonts w:eastAsia="Lato" w:cs="Lato"/>
          <w:color w:val="000000" w:themeColor="text1"/>
        </w:rPr>
      </w:pPr>
      <w:r w:rsidRPr="3273CE1F">
        <w:rPr>
          <w:rFonts w:eastAsia="Lato" w:cs="Lato"/>
          <w:color w:val="000000" w:themeColor="text1"/>
        </w:rPr>
        <w:t xml:space="preserve">Ook wanneer de opdracht voldoet aan volgende </w:t>
      </w:r>
      <w:r>
        <w:rPr>
          <w:rFonts w:eastAsia="Lato" w:cs="Lato"/>
          <w:color w:val="000000" w:themeColor="text1"/>
        </w:rPr>
        <w:t>parameters</w:t>
      </w:r>
      <w:r w:rsidRPr="3273CE1F">
        <w:rPr>
          <w:rFonts w:eastAsia="Lato" w:cs="Lato"/>
          <w:color w:val="000000" w:themeColor="text1"/>
        </w:rPr>
        <w:t xml:space="preserve"> kan worden geopteerd voor de laagste prijs:</w:t>
      </w:r>
    </w:p>
    <w:p w14:paraId="5CE951C6" w14:textId="3AE9F9EB" w:rsidR="00A15F15" w:rsidRPr="00465FC9" w:rsidRDefault="00A15F15">
      <w:pPr>
        <w:pStyle w:val="Bullet1"/>
        <w:rPr>
          <w:lang w:val="nl-BE"/>
        </w:rPr>
      </w:pPr>
      <w:r w:rsidRPr="00465FC9">
        <w:rPr>
          <w:lang w:val="nl-BE"/>
        </w:rPr>
        <w:t>het gevraagde werk, product of dienst is in sterke mate gestandaardiseerd in de markt verkrijgbaar</w:t>
      </w:r>
      <w:r w:rsidR="0073183D">
        <w:rPr>
          <w:lang w:val="nl-BE"/>
        </w:rPr>
        <w:t>;</w:t>
      </w:r>
      <w:r w:rsidRPr="00465FC9">
        <w:rPr>
          <w:lang w:val="nl-BE"/>
        </w:rPr>
        <w:t xml:space="preserve"> en</w:t>
      </w:r>
    </w:p>
    <w:p w14:paraId="7DF2FD1B" w14:textId="7D6AFE24" w:rsidR="00A15F15" w:rsidRPr="00465FC9" w:rsidRDefault="00A15F15">
      <w:pPr>
        <w:pStyle w:val="Bullet1"/>
        <w:rPr>
          <w:lang w:val="nl-BE"/>
        </w:rPr>
      </w:pPr>
      <w:r w:rsidRPr="00465FC9">
        <w:rPr>
          <w:lang w:val="nl-BE"/>
        </w:rPr>
        <w:t>grote verschillen in kwaliteit zijn niet te verwachten</w:t>
      </w:r>
      <w:r w:rsidR="0073183D">
        <w:rPr>
          <w:lang w:val="nl-BE"/>
        </w:rPr>
        <w:t>;</w:t>
      </w:r>
      <w:r w:rsidRPr="00465FC9">
        <w:rPr>
          <w:lang w:val="nl-BE"/>
        </w:rPr>
        <w:t xml:space="preserve"> en</w:t>
      </w:r>
    </w:p>
    <w:p w14:paraId="6DE4EF64" w14:textId="77777777" w:rsidR="00A15F15" w:rsidRPr="00465FC9" w:rsidRDefault="00A15F15">
      <w:pPr>
        <w:pStyle w:val="Bullet1"/>
        <w:rPr>
          <w:lang w:val="nl-BE"/>
        </w:rPr>
      </w:pPr>
      <w:r w:rsidRPr="00465FC9">
        <w:rPr>
          <w:lang w:val="nl-BE"/>
        </w:rPr>
        <w:t>de inhoud en omvang van de opdracht zijn eenduidig vast te leggen.</w:t>
      </w:r>
    </w:p>
    <w:p w14:paraId="02C0AF77" w14:textId="77777777" w:rsidR="00A15F15" w:rsidRDefault="00A15F15" w:rsidP="00A15F15">
      <w:pPr>
        <w:rPr>
          <w:rFonts w:eastAsia="Lato" w:cs="Lato"/>
          <w:color w:val="000000" w:themeColor="text1"/>
        </w:rPr>
      </w:pPr>
      <w:r w:rsidRPr="3273CE1F">
        <w:rPr>
          <w:rFonts w:eastAsia="Lato" w:cs="Lato"/>
          <w:color w:val="000000" w:themeColor="text1"/>
        </w:rPr>
        <w:t>Het grote voordeel van het laagsteprijscriterium is dat het eenvoudig toe te passen is met lage</w:t>
      </w:r>
      <w:r>
        <w:rPr>
          <w:rFonts w:eastAsia="Lato" w:cs="Lato"/>
          <w:color w:val="000000" w:themeColor="text1"/>
        </w:rPr>
        <w:t xml:space="preserve"> (administratieve)</w:t>
      </w:r>
      <w:r w:rsidRPr="3273CE1F">
        <w:rPr>
          <w:rFonts w:eastAsia="Lato" w:cs="Lato"/>
          <w:color w:val="000000" w:themeColor="text1"/>
        </w:rPr>
        <w:t xml:space="preserve"> kosten. Nadeel is dat de aanbesteder voor de laagste prijs doorgaans een kwaliteit koopt die maar net voldoet aan de gestelde eisen. Inschrijvers worden met andere woorden niet gestimuleerd om extra waarde te bieden. </w:t>
      </w:r>
      <w:r>
        <w:rPr>
          <w:rFonts w:eastAsia="Lato" w:cs="Lato"/>
          <w:color w:val="000000" w:themeColor="text1"/>
        </w:rPr>
        <w:t>Tegelijk</w:t>
      </w:r>
      <w:r w:rsidRPr="3273CE1F">
        <w:rPr>
          <w:rFonts w:eastAsia="Lato" w:cs="Lato"/>
          <w:color w:val="000000" w:themeColor="text1"/>
        </w:rPr>
        <w:t xml:space="preserve"> is het niet juist om te stellen dat de laagste prijs automatisch tot een lage</w:t>
      </w:r>
      <w:r>
        <w:rPr>
          <w:rFonts w:eastAsia="Lato" w:cs="Lato"/>
          <w:color w:val="000000" w:themeColor="text1"/>
        </w:rPr>
        <w:t>(re)</w:t>
      </w:r>
      <w:r w:rsidRPr="3273CE1F">
        <w:rPr>
          <w:rFonts w:eastAsia="Lato" w:cs="Lato"/>
          <w:color w:val="000000" w:themeColor="text1"/>
        </w:rPr>
        <w:t xml:space="preserve"> kwaliteit leidt. De aanbesteder formuleert in het bestek immers de minimumeisen waaraan de voorgestelde oplossing moet voldoen.</w:t>
      </w:r>
    </w:p>
    <w:p w14:paraId="253D0018" w14:textId="5F97F516" w:rsidR="00094E75" w:rsidRPr="000B25E2" w:rsidRDefault="009A7C89" w:rsidP="00094E75">
      <w:pPr>
        <w:rPr>
          <w:rFonts w:eastAsia="Lato" w:cs="Lato"/>
          <w:i/>
          <w:iCs/>
          <w:color w:val="000000" w:themeColor="text1"/>
        </w:rPr>
      </w:pPr>
      <w:r>
        <w:rPr>
          <w:rFonts w:eastAsia="Lato" w:cs="Lato"/>
          <w:color w:val="000000" w:themeColor="text1"/>
        </w:rPr>
        <w:lastRenderedPageBreak/>
        <w:t>Daarnaast moet</w:t>
      </w:r>
      <w:r w:rsidR="00094E75" w:rsidRPr="3273CE1F">
        <w:rPr>
          <w:rFonts w:eastAsia="Lato" w:cs="Lato"/>
          <w:color w:val="000000" w:themeColor="text1"/>
        </w:rPr>
        <w:t xml:space="preserve"> de aanbesteder bij de beoordeling van het criterium “prijs” steeds oog hebben voor zogenaamde </w:t>
      </w:r>
      <w:r w:rsidR="00094E75" w:rsidRPr="004F5164">
        <w:rPr>
          <w:rFonts w:eastAsia="Lato" w:cs="Lato"/>
          <w:b/>
          <w:bCs/>
          <w:color w:val="000000" w:themeColor="text1"/>
        </w:rPr>
        <w:t>abnormaal lage (of hoge) prijzen</w:t>
      </w:r>
      <w:r w:rsidR="00094E75" w:rsidRPr="3273CE1F">
        <w:rPr>
          <w:rFonts w:eastAsia="Lato" w:cs="Lato"/>
          <w:color w:val="000000" w:themeColor="text1"/>
        </w:rPr>
        <w:t xml:space="preserve">. Voor meer gedetailleerde informatie </w:t>
      </w:r>
      <w:r w:rsidR="00094E75">
        <w:rPr>
          <w:rFonts w:eastAsia="Lato" w:cs="Lato"/>
          <w:color w:val="000000" w:themeColor="text1"/>
        </w:rPr>
        <w:t>daarover wordt verwezen</w:t>
      </w:r>
      <w:r w:rsidR="00094E75" w:rsidRPr="3273CE1F">
        <w:rPr>
          <w:rFonts w:eastAsia="Lato" w:cs="Lato"/>
          <w:color w:val="000000" w:themeColor="text1"/>
        </w:rPr>
        <w:t xml:space="preserve"> naar artikel 36 van het </w:t>
      </w:r>
      <w:r w:rsidR="006C37EF">
        <w:rPr>
          <w:rFonts w:eastAsia="Lato" w:cs="Lato"/>
          <w:color w:val="000000" w:themeColor="text1"/>
        </w:rPr>
        <w:t>KB</w:t>
      </w:r>
      <w:r w:rsidR="00396AF0" w:rsidRPr="3273CE1F">
        <w:rPr>
          <w:rFonts w:eastAsia="Lato" w:cs="Lato"/>
          <w:color w:val="000000" w:themeColor="text1"/>
        </w:rPr>
        <w:t xml:space="preserve"> </w:t>
      </w:r>
      <w:r w:rsidR="00094E75" w:rsidRPr="3273CE1F">
        <w:rPr>
          <w:rFonts w:eastAsia="Lato" w:cs="Lato"/>
          <w:color w:val="000000" w:themeColor="text1"/>
        </w:rPr>
        <w:t xml:space="preserve">van </w:t>
      </w:r>
      <w:hyperlink r:id="rId88" w:history="1">
        <w:r w:rsidR="00094E75" w:rsidRPr="00A9274C">
          <w:rPr>
            <w:rStyle w:val="Hyperlink"/>
            <w:rFonts w:eastAsia="Lato" w:cs="Lato"/>
          </w:rPr>
          <w:t>18 april 2017</w:t>
        </w:r>
      </w:hyperlink>
      <w:r w:rsidR="00094E75" w:rsidRPr="3273CE1F">
        <w:rPr>
          <w:rFonts w:eastAsia="Lato" w:cs="Lato"/>
          <w:color w:val="000000" w:themeColor="text1"/>
        </w:rPr>
        <w:t xml:space="preserve"> en de </w:t>
      </w:r>
      <w:hyperlink r:id="rId89" w:history="1">
        <w:r w:rsidR="00094E75" w:rsidRPr="00ED7788">
          <w:rPr>
            <w:rStyle w:val="Hyperlink"/>
            <w:rFonts w:eastAsia="Lato" w:cs="Lato"/>
            <w:i/>
            <w:iCs/>
          </w:rPr>
          <w:t>Gids - Strijd tegen sociale dumping in het kader van overheidsopdrachten en concessieovereenkomsten</w:t>
        </w:r>
      </w:hyperlink>
      <w:r w:rsidR="00094E75" w:rsidRPr="5BCC2480">
        <w:rPr>
          <w:rStyle w:val="Voetnootmarkering"/>
          <w:rFonts w:eastAsia="Lato" w:cs="Lato"/>
          <w:color w:val="000000" w:themeColor="text1"/>
        </w:rPr>
        <w:footnoteReference w:id="7"/>
      </w:r>
      <w:r w:rsidR="00094E75" w:rsidRPr="5BCC2480">
        <w:rPr>
          <w:rFonts w:eastAsia="Lato" w:cs="Lato"/>
          <w:color w:val="000000" w:themeColor="text1"/>
        </w:rPr>
        <w:t>.</w:t>
      </w:r>
    </w:p>
    <w:p w14:paraId="30396A8B" w14:textId="74267DBD" w:rsidR="00094E75" w:rsidRDefault="00094E75" w:rsidP="00094E75">
      <w:pPr>
        <w:rPr>
          <w:rFonts w:eastAsia="Lato" w:cs="Lato"/>
          <w:color w:val="000000" w:themeColor="text1"/>
        </w:rPr>
      </w:pPr>
      <w:r w:rsidRPr="00D5186B">
        <w:rPr>
          <w:rFonts w:eastAsia="Lato" w:cs="Lato"/>
          <w:b/>
          <w:bCs/>
          <w:color w:val="C00000"/>
        </w:rPr>
        <w:t xml:space="preserve">De aanbesteder wordt tot slot nog herinnerd aan twee bad practices </w:t>
      </w:r>
      <w:r w:rsidR="00BE63EB" w:rsidRPr="5E47B54A">
        <w:rPr>
          <w:rFonts w:eastAsia="Lato" w:cs="Lato"/>
          <w:b/>
          <w:bCs/>
          <w:color w:val="000000" w:themeColor="text1"/>
        </w:rPr>
        <w:t>die te</w:t>
      </w:r>
      <w:r w:rsidR="00BE63EB">
        <w:rPr>
          <w:rFonts w:eastAsia="Lato" w:cs="Lato"/>
          <w:b/>
          <w:bCs/>
          <w:color w:val="000000" w:themeColor="text1"/>
        </w:rPr>
        <w:t>n</w:t>
      </w:r>
      <w:r w:rsidR="00BE63EB" w:rsidRPr="5E47B54A">
        <w:rPr>
          <w:rFonts w:eastAsia="Lato" w:cs="Lato"/>
          <w:b/>
          <w:bCs/>
          <w:color w:val="000000" w:themeColor="text1"/>
        </w:rPr>
        <w:t xml:space="preserve"> allen tijde te vermijden zijn</w:t>
      </w:r>
      <w:r w:rsidR="00BE63EB">
        <w:rPr>
          <w:rFonts w:eastAsia="Lato" w:cs="Lato"/>
          <w:b/>
          <w:bCs/>
          <w:color w:val="C00000"/>
        </w:rPr>
        <w:t xml:space="preserve"> </w:t>
      </w:r>
      <w:r w:rsidR="00BE63EB" w:rsidRPr="00BE63EB">
        <w:rPr>
          <w:rFonts w:eastAsia="Lato" w:cs="Lato"/>
          <w:b/>
          <w:bCs/>
        </w:rPr>
        <w:t xml:space="preserve">en dat </w:t>
      </w:r>
      <w:r w:rsidRPr="5E47B54A">
        <w:rPr>
          <w:rFonts w:eastAsia="Lato" w:cs="Lato"/>
          <w:b/>
          <w:bCs/>
          <w:color w:val="000000" w:themeColor="text1"/>
        </w:rPr>
        <w:t xml:space="preserve">in </w:t>
      </w:r>
      <w:r w:rsidR="00D5186B">
        <w:rPr>
          <w:rFonts w:eastAsia="Lato" w:cs="Lato"/>
          <w:b/>
          <w:bCs/>
          <w:color w:val="000000" w:themeColor="text1"/>
        </w:rPr>
        <w:t>het kader</w:t>
      </w:r>
      <w:r w:rsidR="00D5186B" w:rsidRPr="5E47B54A">
        <w:rPr>
          <w:rFonts w:eastAsia="Lato" w:cs="Lato"/>
          <w:b/>
          <w:bCs/>
          <w:color w:val="000000" w:themeColor="text1"/>
        </w:rPr>
        <w:t xml:space="preserve"> </w:t>
      </w:r>
      <w:r w:rsidRPr="5E47B54A">
        <w:rPr>
          <w:rFonts w:eastAsia="Lato" w:cs="Lato"/>
          <w:b/>
          <w:bCs/>
          <w:color w:val="000000" w:themeColor="text1"/>
        </w:rPr>
        <w:t>van het gebruik van het criterium laagste prijs</w:t>
      </w:r>
      <w:r w:rsidRPr="5E47B54A">
        <w:rPr>
          <w:rFonts w:eastAsia="Lato" w:cs="Lato"/>
          <w:color w:val="000000" w:themeColor="text1"/>
        </w:rPr>
        <w:t xml:space="preserve">, namelijk het </w:t>
      </w:r>
      <w:r w:rsidRPr="0064551F">
        <w:rPr>
          <w:rFonts w:eastAsia="Lato" w:cs="Lato"/>
          <w:i/>
          <w:iCs/>
          <w:color w:val="000000" w:themeColor="text1"/>
        </w:rPr>
        <w:t>louter gebruik maken van uurtarieven</w:t>
      </w:r>
      <w:r w:rsidRPr="5E47B54A">
        <w:rPr>
          <w:rFonts w:eastAsia="Lato" w:cs="Lato"/>
          <w:color w:val="000000" w:themeColor="text1"/>
        </w:rPr>
        <w:t xml:space="preserve"> en het </w:t>
      </w:r>
      <w:r w:rsidRPr="0064551F">
        <w:rPr>
          <w:rFonts w:eastAsia="Lato" w:cs="Lato"/>
          <w:i/>
          <w:iCs/>
          <w:color w:val="000000" w:themeColor="text1"/>
        </w:rPr>
        <w:t>gebruik van de laagste prijs bij intellectuele prestaties</w:t>
      </w:r>
      <w:r w:rsidRPr="5E47B54A">
        <w:rPr>
          <w:rFonts w:eastAsia="Lato" w:cs="Lato"/>
          <w:color w:val="000000" w:themeColor="text1"/>
        </w:rPr>
        <w:t xml:space="preserve">. </w:t>
      </w:r>
    </w:p>
    <w:p w14:paraId="17AD0996" w14:textId="77777777" w:rsidR="00753D0D" w:rsidRDefault="00094E75" w:rsidP="00094E75">
      <w:pPr>
        <w:rPr>
          <w:rFonts w:eastAsia="Lato" w:cs="Lato"/>
          <w:color w:val="000000" w:themeColor="text1"/>
        </w:rPr>
      </w:pPr>
      <w:r w:rsidRPr="5BCC2480">
        <w:rPr>
          <w:rFonts w:eastAsia="Lato" w:cs="Lato"/>
          <w:color w:val="000000" w:themeColor="text1"/>
        </w:rPr>
        <w:t xml:space="preserve">De </w:t>
      </w:r>
      <w:r>
        <w:rPr>
          <w:rFonts w:eastAsia="Lato" w:cs="Lato"/>
          <w:color w:val="000000" w:themeColor="text1"/>
        </w:rPr>
        <w:t>mogelijkheid</w:t>
      </w:r>
      <w:r w:rsidR="00AD79A4">
        <w:rPr>
          <w:rFonts w:eastAsia="Lato" w:cs="Lato"/>
          <w:color w:val="000000" w:themeColor="text1"/>
        </w:rPr>
        <w:t>, in het algemeen,</w:t>
      </w:r>
      <w:r w:rsidRPr="5BCC2480">
        <w:rPr>
          <w:rFonts w:eastAsia="Lato" w:cs="Lato"/>
          <w:color w:val="000000" w:themeColor="text1"/>
        </w:rPr>
        <w:t xml:space="preserve"> voor een kmo om in te spelen op een markt</w:t>
      </w:r>
      <w:r w:rsidR="009838F3">
        <w:rPr>
          <w:rFonts w:eastAsia="Lato" w:cs="Lato"/>
          <w:color w:val="000000" w:themeColor="text1"/>
        </w:rPr>
        <w:t xml:space="preserve"> (hier een overheidsopdracht)</w:t>
      </w:r>
      <w:r w:rsidRPr="5BCC2480">
        <w:rPr>
          <w:rFonts w:eastAsia="Lato" w:cs="Lato"/>
          <w:color w:val="000000" w:themeColor="text1"/>
        </w:rPr>
        <w:t xml:space="preserve"> </w:t>
      </w:r>
      <w:r>
        <w:rPr>
          <w:rFonts w:eastAsia="Lato" w:cs="Lato"/>
          <w:color w:val="000000" w:themeColor="text1"/>
        </w:rPr>
        <w:t xml:space="preserve">enkel </w:t>
      </w:r>
      <w:r w:rsidRPr="5BCC2480">
        <w:rPr>
          <w:rFonts w:eastAsia="Lato" w:cs="Lato"/>
          <w:color w:val="000000" w:themeColor="text1"/>
        </w:rPr>
        <w:t>op basis van de laagste prijs</w:t>
      </w:r>
      <w:r>
        <w:rPr>
          <w:rFonts w:eastAsia="Lato" w:cs="Lato"/>
          <w:color w:val="000000" w:themeColor="text1"/>
        </w:rPr>
        <w:t xml:space="preserve"> (hier via uurtarieven)</w:t>
      </w:r>
      <w:r w:rsidRPr="5BCC2480">
        <w:rPr>
          <w:rFonts w:eastAsia="Lato" w:cs="Lato"/>
          <w:color w:val="000000" w:themeColor="text1"/>
        </w:rPr>
        <w:t xml:space="preserve"> </w:t>
      </w:r>
      <w:r>
        <w:rPr>
          <w:rFonts w:eastAsia="Lato" w:cs="Lato"/>
          <w:color w:val="000000" w:themeColor="text1"/>
        </w:rPr>
        <w:t>is vaak reeds deels beperkt</w:t>
      </w:r>
      <w:r w:rsidR="00BD3E29">
        <w:rPr>
          <w:rFonts w:eastAsia="Lato" w:cs="Lato"/>
          <w:color w:val="000000" w:themeColor="text1"/>
        </w:rPr>
        <w:t xml:space="preserve"> door</w:t>
      </w:r>
      <w:r w:rsidR="000C050A">
        <w:rPr>
          <w:rFonts w:eastAsia="Lato" w:cs="Lato"/>
          <w:color w:val="000000" w:themeColor="text1"/>
        </w:rPr>
        <w:t xml:space="preserve"> onder meer</w:t>
      </w:r>
      <w:r w:rsidR="00BD3E29">
        <w:rPr>
          <w:rFonts w:eastAsia="Lato" w:cs="Lato"/>
          <w:color w:val="000000" w:themeColor="text1"/>
        </w:rPr>
        <w:t xml:space="preserve"> de kleinere schaalgrootte</w:t>
      </w:r>
      <w:r w:rsidR="000C050A">
        <w:rPr>
          <w:rFonts w:eastAsia="Lato" w:cs="Lato"/>
          <w:color w:val="000000" w:themeColor="text1"/>
        </w:rPr>
        <w:t>,</w:t>
      </w:r>
      <w:r>
        <w:rPr>
          <w:rFonts w:eastAsia="Lato" w:cs="Lato"/>
          <w:color w:val="000000" w:themeColor="text1"/>
        </w:rPr>
        <w:t xml:space="preserve"> </w:t>
      </w:r>
      <w:r w:rsidR="00E11BA6">
        <w:rPr>
          <w:rFonts w:eastAsia="Lato" w:cs="Lato"/>
          <w:color w:val="000000" w:themeColor="text1"/>
        </w:rPr>
        <w:t>wat</w:t>
      </w:r>
      <w:r>
        <w:rPr>
          <w:rFonts w:eastAsia="Lato" w:cs="Lato"/>
          <w:color w:val="000000" w:themeColor="text1"/>
        </w:rPr>
        <w:t xml:space="preserve"> dus</w:t>
      </w:r>
      <w:r w:rsidRPr="5BCC2480">
        <w:rPr>
          <w:rFonts w:eastAsia="Lato" w:cs="Lato"/>
          <w:color w:val="000000" w:themeColor="text1"/>
        </w:rPr>
        <w:t xml:space="preserve"> een belemmering</w:t>
      </w:r>
      <w:r>
        <w:rPr>
          <w:rFonts w:eastAsia="Lato" w:cs="Lato"/>
          <w:color w:val="000000" w:themeColor="text1"/>
        </w:rPr>
        <w:t xml:space="preserve"> </w:t>
      </w:r>
      <w:r w:rsidR="000025F9">
        <w:rPr>
          <w:rFonts w:eastAsia="Lato" w:cs="Lato"/>
          <w:color w:val="000000" w:themeColor="text1"/>
        </w:rPr>
        <w:t>kan vormen</w:t>
      </w:r>
      <w:r>
        <w:rPr>
          <w:rFonts w:eastAsia="Lato" w:cs="Lato"/>
          <w:color w:val="000000" w:themeColor="text1"/>
        </w:rPr>
        <w:t xml:space="preserve"> voor de participatie</w:t>
      </w:r>
      <w:r w:rsidR="00F64DB0">
        <w:rPr>
          <w:rFonts w:eastAsia="Lato" w:cs="Lato"/>
          <w:color w:val="000000" w:themeColor="text1"/>
        </w:rPr>
        <w:t xml:space="preserve"> van kmo’s</w:t>
      </w:r>
      <w:r>
        <w:rPr>
          <w:rFonts w:eastAsia="Lato" w:cs="Lato"/>
          <w:color w:val="000000" w:themeColor="text1"/>
        </w:rPr>
        <w:t xml:space="preserve"> </w:t>
      </w:r>
      <w:r w:rsidR="009403F6">
        <w:rPr>
          <w:rFonts w:eastAsia="Lato" w:cs="Lato"/>
          <w:color w:val="000000" w:themeColor="text1"/>
        </w:rPr>
        <w:t xml:space="preserve">aan </w:t>
      </w:r>
      <w:r w:rsidR="000025F9">
        <w:rPr>
          <w:rFonts w:eastAsia="Lato" w:cs="Lato"/>
          <w:color w:val="000000" w:themeColor="text1"/>
        </w:rPr>
        <w:t>een</w:t>
      </w:r>
      <w:r w:rsidR="009403F6">
        <w:rPr>
          <w:rFonts w:eastAsia="Lato" w:cs="Lato"/>
          <w:color w:val="000000" w:themeColor="text1"/>
        </w:rPr>
        <w:t xml:space="preserve"> opdracht </w:t>
      </w:r>
      <w:r>
        <w:rPr>
          <w:rFonts w:eastAsia="Lato" w:cs="Lato"/>
          <w:color w:val="000000" w:themeColor="text1"/>
        </w:rPr>
        <w:t xml:space="preserve">en dus de mededinging. </w:t>
      </w:r>
    </w:p>
    <w:p w14:paraId="25B91776" w14:textId="6A2B3C16" w:rsidR="00094E75" w:rsidRDefault="00094E75" w:rsidP="00094E75">
      <w:pPr>
        <w:rPr>
          <w:rFonts w:eastAsia="Lato" w:cs="Lato"/>
          <w:color w:val="000000" w:themeColor="text1"/>
        </w:rPr>
      </w:pPr>
      <w:r>
        <w:rPr>
          <w:rFonts w:eastAsia="Lato" w:cs="Lato"/>
          <w:color w:val="000000" w:themeColor="text1"/>
        </w:rPr>
        <w:t xml:space="preserve">Bovendien, indien het gebruik van louter uurtarieven als criterium resulteert </w:t>
      </w:r>
      <w:r w:rsidRPr="5BCC2480">
        <w:rPr>
          <w:rFonts w:eastAsia="Lato" w:cs="Lato"/>
          <w:color w:val="000000" w:themeColor="text1"/>
        </w:rPr>
        <w:t xml:space="preserve">in een uurtarief waarbij iedereen een zeer laag tarief </w:t>
      </w:r>
      <w:r>
        <w:rPr>
          <w:rFonts w:eastAsia="Lato" w:cs="Lato"/>
          <w:color w:val="000000" w:themeColor="text1"/>
        </w:rPr>
        <w:t>voorstelt</w:t>
      </w:r>
      <w:r w:rsidRPr="5BCC2480">
        <w:rPr>
          <w:rFonts w:eastAsia="Lato" w:cs="Lato"/>
          <w:color w:val="000000" w:themeColor="text1"/>
        </w:rPr>
        <w:t xml:space="preserve">, </w:t>
      </w:r>
      <w:r>
        <w:rPr>
          <w:rFonts w:eastAsia="Lato" w:cs="Lato"/>
          <w:color w:val="000000" w:themeColor="text1"/>
        </w:rPr>
        <w:t>maar dat</w:t>
      </w:r>
      <w:r w:rsidR="005E5197">
        <w:rPr>
          <w:rFonts w:eastAsia="Lato" w:cs="Lato"/>
          <w:color w:val="000000" w:themeColor="text1"/>
        </w:rPr>
        <w:t xml:space="preserve"> zeer laag tarief</w:t>
      </w:r>
      <w:r>
        <w:rPr>
          <w:rFonts w:eastAsia="Lato" w:cs="Lato"/>
          <w:color w:val="000000" w:themeColor="text1"/>
        </w:rPr>
        <w:t xml:space="preserve"> uiteindelijk </w:t>
      </w:r>
      <w:r w:rsidRPr="5BCC2480">
        <w:rPr>
          <w:rFonts w:eastAsia="Lato" w:cs="Lato"/>
          <w:color w:val="000000" w:themeColor="text1"/>
        </w:rPr>
        <w:t>gecompenseerd wordt door een groter aantal gefactureerde uren wanneer de uitvoering uitloopt</w:t>
      </w:r>
      <w:r>
        <w:rPr>
          <w:rFonts w:eastAsia="Lato" w:cs="Lato"/>
          <w:color w:val="000000" w:themeColor="text1"/>
        </w:rPr>
        <w:t>, dan was die overheidsopdracht negatief voor zowel de mededinging als de kmo en de aanbesteder</w:t>
      </w:r>
      <w:r w:rsidRPr="5BCC2480">
        <w:rPr>
          <w:rFonts w:eastAsia="Lato" w:cs="Lato"/>
          <w:color w:val="000000" w:themeColor="text1"/>
        </w:rPr>
        <w:t>.</w:t>
      </w:r>
      <w:r>
        <w:rPr>
          <w:rFonts w:eastAsia="Lato" w:cs="Lato"/>
          <w:color w:val="000000" w:themeColor="text1"/>
        </w:rPr>
        <w:t xml:space="preserve"> </w:t>
      </w:r>
      <w:r w:rsidR="00AB500F">
        <w:rPr>
          <w:rFonts w:eastAsia="Lato" w:cs="Lato"/>
          <w:color w:val="000000" w:themeColor="text1"/>
        </w:rPr>
        <w:t>Samengevat</w:t>
      </w:r>
      <w:r>
        <w:rPr>
          <w:rFonts w:eastAsia="Lato" w:cs="Lato"/>
          <w:color w:val="000000" w:themeColor="text1"/>
        </w:rPr>
        <w:t>: iedereen verliest.</w:t>
      </w:r>
      <w:r w:rsidR="00AD79A4">
        <w:rPr>
          <w:rFonts w:eastAsia="Lato" w:cs="Lato"/>
          <w:color w:val="000000" w:themeColor="text1"/>
        </w:rPr>
        <w:t xml:space="preserve"> </w:t>
      </w:r>
      <w:r w:rsidR="000A1429">
        <w:rPr>
          <w:rFonts w:eastAsia="Lato" w:cs="Lato"/>
          <w:color w:val="000000" w:themeColor="text1"/>
        </w:rPr>
        <w:t>Enkel</w:t>
      </w:r>
      <w:r w:rsidR="00AD79A4">
        <w:rPr>
          <w:rFonts w:eastAsia="Lato" w:cs="Lato"/>
          <w:color w:val="000000" w:themeColor="text1"/>
        </w:rPr>
        <w:t xml:space="preserve"> gebruik maken van uurtarieven</w:t>
      </w:r>
      <w:r w:rsidR="006A7544">
        <w:rPr>
          <w:rFonts w:eastAsia="Lato" w:cs="Lato"/>
          <w:color w:val="000000" w:themeColor="text1"/>
        </w:rPr>
        <w:t xml:space="preserve"> als gunningscriterium</w:t>
      </w:r>
      <w:r w:rsidR="00AD79A4">
        <w:rPr>
          <w:rFonts w:eastAsia="Lato" w:cs="Lato"/>
          <w:color w:val="000000" w:themeColor="text1"/>
        </w:rPr>
        <w:t xml:space="preserve"> </w:t>
      </w:r>
      <w:r w:rsidR="00666F17">
        <w:rPr>
          <w:rFonts w:eastAsia="Lato" w:cs="Lato"/>
          <w:color w:val="000000" w:themeColor="text1"/>
        </w:rPr>
        <w:t>houdt dus</w:t>
      </w:r>
      <w:r w:rsidR="00AD79A4">
        <w:rPr>
          <w:rFonts w:eastAsia="Lato" w:cs="Lato"/>
          <w:color w:val="000000" w:themeColor="text1"/>
        </w:rPr>
        <w:t xml:space="preserve"> meerdere </w:t>
      </w:r>
      <w:r w:rsidR="00666F17">
        <w:rPr>
          <w:rFonts w:eastAsia="Lato" w:cs="Lato"/>
          <w:color w:val="000000" w:themeColor="text1"/>
        </w:rPr>
        <w:t xml:space="preserve">risico’s in </w:t>
      </w:r>
      <w:r w:rsidR="004E3ED2">
        <w:rPr>
          <w:rFonts w:eastAsia="Lato" w:cs="Lato"/>
          <w:color w:val="000000" w:themeColor="text1"/>
        </w:rPr>
        <w:t>voor alle partijen</w:t>
      </w:r>
      <w:r w:rsidR="00AD79A4">
        <w:rPr>
          <w:rFonts w:eastAsia="Lato" w:cs="Lato"/>
          <w:color w:val="000000" w:themeColor="text1"/>
        </w:rPr>
        <w:t xml:space="preserve">. </w:t>
      </w:r>
    </w:p>
    <w:p w14:paraId="48C5CFDA" w14:textId="77777777" w:rsidR="00094E75" w:rsidRDefault="00094E75" w:rsidP="00094E75">
      <w:pPr>
        <w:rPr>
          <w:rFonts w:eastAsia="Lato" w:cs="Lato"/>
          <w:color w:val="000000" w:themeColor="text1"/>
        </w:rPr>
      </w:pPr>
      <w:r w:rsidRPr="5BCC2480">
        <w:rPr>
          <w:rFonts w:eastAsia="Lato" w:cs="Lato"/>
          <w:color w:val="000000" w:themeColor="text1"/>
        </w:rPr>
        <w:t xml:space="preserve">Ook een te grote nadruk op de rol van het ereloon bij intellectuele prestaties kan een negatieve impact hebben op de kwaliteit en een drempel vormen voor kmo’s om deel te nemen aan overheidsopdrachten. </w:t>
      </w:r>
    </w:p>
    <w:p w14:paraId="67C3AAB2" w14:textId="47E31DC8" w:rsidR="00094E75" w:rsidRDefault="00094E75" w:rsidP="00094E75">
      <w:pPr>
        <w:rPr>
          <w:rFonts w:eastAsia="Lato" w:cs="Lato"/>
          <w:color w:val="000000" w:themeColor="text1"/>
        </w:rPr>
      </w:pPr>
      <w:r w:rsidRPr="5BCC2480">
        <w:rPr>
          <w:rFonts w:eastAsia="Lato" w:cs="Lato"/>
          <w:color w:val="000000" w:themeColor="text1"/>
        </w:rPr>
        <w:t xml:space="preserve">Zo is ontwerpen intellectuele arbeid en wordt van architecten verwacht dat ze innoveren op het vlak van onder </w:t>
      </w:r>
      <w:r>
        <w:rPr>
          <w:rFonts w:eastAsia="Lato" w:cs="Lato"/>
          <w:color w:val="000000" w:themeColor="text1"/>
        </w:rPr>
        <w:t>meer</w:t>
      </w:r>
      <w:r w:rsidRPr="5BCC2480">
        <w:rPr>
          <w:rFonts w:eastAsia="Lato" w:cs="Lato"/>
          <w:color w:val="000000" w:themeColor="text1"/>
        </w:rPr>
        <w:t xml:space="preserve"> slim ruimtegebruik en energiezuinige gebouwen. De investering </w:t>
      </w:r>
      <w:r w:rsidR="00F96AA2">
        <w:rPr>
          <w:rFonts w:eastAsia="Lato" w:cs="Lato"/>
          <w:color w:val="000000" w:themeColor="text1"/>
        </w:rPr>
        <w:t xml:space="preserve">in de creatie </w:t>
      </w:r>
      <w:r w:rsidRPr="5BCC2480">
        <w:rPr>
          <w:rFonts w:eastAsia="Lato" w:cs="Lato"/>
          <w:color w:val="000000" w:themeColor="text1"/>
        </w:rPr>
        <w:t xml:space="preserve">van een ontwerp bestaat quasi uitsluitend uit het presteren van werkuren en er is weinig marge voor efficiëntiewinsten in vergelijking met andere bedrijfstakken. Daarbij komt dat de ontwerpfase slechts een fractie is van de </w:t>
      </w:r>
      <w:r w:rsidRPr="5BCC2480">
        <w:rPr>
          <w:rFonts w:eastAsia="Lato" w:cs="Lato"/>
          <w:i/>
          <w:iCs/>
          <w:color w:val="000000" w:themeColor="text1"/>
        </w:rPr>
        <w:t xml:space="preserve">total cost of ownership </w:t>
      </w:r>
      <w:r w:rsidRPr="5BCC2480">
        <w:rPr>
          <w:rFonts w:eastAsia="Lato" w:cs="Lato"/>
          <w:color w:val="000000" w:themeColor="text1"/>
        </w:rPr>
        <w:t>(tco)</w:t>
      </w:r>
      <w:r w:rsidRPr="5BCC2480">
        <w:rPr>
          <w:rFonts w:eastAsia="Lato" w:cs="Lato"/>
          <w:i/>
          <w:iCs/>
          <w:color w:val="000000" w:themeColor="text1"/>
        </w:rPr>
        <w:t xml:space="preserve"> </w:t>
      </w:r>
      <w:r w:rsidRPr="5BCC2480">
        <w:rPr>
          <w:rFonts w:eastAsia="Lato" w:cs="Lato"/>
          <w:color w:val="000000" w:themeColor="text1"/>
        </w:rPr>
        <w:t xml:space="preserve">van een gebouw én dat die studiekost door het maken van slimme keuzes wel een grote positieve impact kan hebben op </w:t>
      </w:r>
      <w:r w:rsidR="00DA492E">
        <w:rPr>
          <w:rFonts w:eastAsia="Lato" w:cs="Lato"/>
          <w:color w:val="000000" w:themeColor="text1"/>
        </w:rPr>
        <w:t>alle andere</w:t>
      </w:r>
      <w:r w:rsidR="00DA492E" w:rsidRPr="5BCC2480">
        <w:rPr>
          <w:rFonts w:eastAsia="Lato" w:cs="Lato"/>
          <w:color w:val="000000" w:themeColor="text1"/>
        </w:rPr>
        <w:t xml:space="preserve"> </w:t>
      </w:r>
      <w:r w:rsidRPr="5BCC2480">
        <w:rPr>
          <w:rFonts w:eastAsia="Lato" w:cs="Lato"/>
          <w:color w:val="000000" w:themeColor="text1"/>
        </w:rPr>
        <w:t>bouw- en onderhoudskosten van de tco</w:t>
      </w:r>
      <w:r w:rsidR="000631D8">
        <w:rPr>
          <w:rStyle w:val="Voetnootmarkering"/>
          <w:rFonts w:eastAsia="Lato" w:cs="Lato"/>
          <w:color w:val="000000" w:themeColor="text1"/>
        </w:rPr>
        <w:footnoteReference w:id="8"/>
      </w:r>
      <w:r w:rsidRPr="5BCC2480">
        <w:rPr>
          <w:rFonts w:eastAsia="Lato" w:cs="Lato"/>
          <w:color w:val="000000" w:themeColor="text1"/>
        </w:rPr>
        <w:t xml:space="preserve">. </w:t>
      </w:r>
    </w:p>
    <w:p w14:paraId="587859F6" w14:textId="6763F8C0" w:rsidR="00094E75" w:rsidRDefault="00094E75" w:rsidP="00094E75">
      <w:pPr>
        <w:rPr>
          <w:rFonts w:eastAsia="Lato" w:cs="Lato"/>
          <w:color w:val="000000" w:themeColor="text1"/>
        </w:rPr>
      </w:pPr>
      <w:r w:rsidRPr="3A620A00">
        <w:rPr>
          <w:rFonts w:eastAsia="Lato" w:cs="Lato"/>
          <w:color w:val="000000" w:themeColor="text1"/>
        </w:rPr>
        <w:t>Wanneer dus bijvoorbeeld een architectuur</w:t>
      </w:r>
      <w:r w:rsidR="00323298">
        <w:rPr>
          <w:rFonts w:eastAsia="Lato" w:cs="Lato"/>
          <w:color w:val="000000" w:themeColor="text1"/>
        </w:rPr>
        <w:t>-</w:t>
      </w:r>
      <w:r w:rsidR="00901586">
        <w:rPr>
          <w:rFonts w:eastAsia="Lato" w:cs="Lato"/>
          <w:color w:val="000000" w:themeColor="text1"/>
        </w:rPr>
        <w:t xml:space="preserve"> en stedenbouwkundige </w:t>
      </w:r>
      <w:r w:rsidRPr="3A620A00">
        <w:rPr>
          <w:rFonts w:eastAsia="Lato" w:cs="Lato"/>
          <w:color w:val="000000" w:themeColor="text1"/>
        </w:rPr>
        <w:t xml:space="preserve">opdracht gegund wordt met de prijs als een doorslaggevend criterium, dan kan die prijs eigenlijk enkel gedrukt worden door te besparen op het aantal gepresteerde werkuren en/of de vergoeding van de medewerkers. Die manier van werken heeft met andere woorden een </w:t>
      </w:r>
      <w:r w:rsidR="00C7310A">
        <w:rPr>
          <w:rFonts w:eastAsia="Lato" w:cs="Lato"/>
          <w:color w:val="000000" w:themeColor="text1"/>
        </w:rPr>
        <w:t>directe</w:t>
      </w:r>
      <w:r w:rsidR="00C7310A" w:rsidRPr="3A620A00">
        <w:rPr>
          <w:rFonts w:eastAsia="Lato" w:cs="Lato"/>
          <w:color w:val="000000" w:themeColor="text1"/>
        </w:rPr>
        <w:t xml:space="preserve"> </w:t>
      </w:r>
      <w:r w:rsidRPr="3A620A00">
        <w:rPr>
          <w:rFonts w:eastAsia="Lato" w:cs="Lato"/>
          <w:color w:val="000000" w:themeColor="text1"/>
        </w:rPr>
        <w:t>negatieve impact op de kwaliteit van de geleverde diensten en het is dus aan te raden om de rol van het ereloon in de gunningscriteria te beperken</w:t>
      </w:r>
      <w:r w:rsidR="00B851E4">
        <w:rPr>
          <w:rFonts w:eastAsia="Lato" w:cs="Lato"/>
          <w:color w:val="000000" w:themeColor="text1"/>
        </w:rPr>
        <w:t>,</w:t>
      </w:r>
      <w:r w:rsidRPr="3A620A00">
        <w:rPr>
          <w:rFonts w:eastAsia="Lato" w:cs="Lato"/>
          <w:color w:val="000000" w:themeColor="text1"/>
        </w:rPr>
        <w:t xml:space="preserve"> bijvoorbeeld via een specifiek gunningscriterium met een beperkt, vast gewicht of door er op voorhand reeds een vaste kosten- of prijscomponent van te maken.  </w:t>
      </w:r>
    </w:p>
    <w:p w14:paraId="1C201068" w14:textId="77777777" w:rsidR="00094E75" w:rsidRPr="000B25E2" w:rsidRDefault="00094E75" w:rsidP="00094E75">
      <w:pPr>
        <w:rPr>
          <w:rFonts w:eastAsia="Lato" w:cs="Lato"/>
          <w:color w:val="000000" w:themeColor="text1"/>
        </w:rPr>
      </w:pPr>
      <w:r w:rsidRPr="0093227A">
        <w:rPr>
          <w:rFonts w:eastAsia="Lato" w:cs="Lato"/>
          <w:b/>
          <w:bCs/>
          <w:color w:val="0070C0"/>
        </w:rPr>
        <w:t>In het algemeen worden de aanbestedende overheden aangemoedigd om de keuze van de economisch meest voordelige offerte vast te stellen</w:t>
      </w:r>
      <w:r w:rsidRPr="00DA17AF">
        <w:rPr>
          <w:rFonts w:eastAsia="Lato" w:cs="Lato"/>
          <w:b/>
          <w:bCs/>
          <w:color w:val="0070C0"/>
        </w:rPr>
        <w:t>:</w:t>
      </w:r>
    </w:p>
    <w:p w14:paraId="152217B0" w14:textId="349FBC6C" w:rsidR="00094E75" w:rsidRPr="00465FC9" w:rsidRDefault="00094E75">
      <w:pPr>
        <w:pStyle w:val="Bullet1"/>
        <w:rPr>
          <w:lang w:val="nl-BE"/>
        </w:rPr>
      </w:pPr>
      <w:r w:rsidRPr="00465FC9">
        <w:rPr>
          <w:lang w:val="nl-BE"/>
        </w:rPr>
        <w:t>ofwel op basis van de kosten, rekening houdend met de kosteneffectiviteit, zoals de levenscycluskosten;</w:t>
      </w:r>
    </w:p>
    <w:p w14:paraId="57F36D5D" w14:textId="3DDF4E03" w:rsidR="00094E75" w:rsidRDefault="00094E75">
      <w:pPr>
        <w:pStyle w:val="Bullet1"/>
        <w:rPr>
          <w:lang w:val="nl-BE"/>
        </w:rPr>
      </w:pPr>
      <w:r w:rsidRPr="00F07DB4">
        <w:rPr>
          <w:lang w:val="nl-BE"/>
        </w:rPr>
        <w:t>ofwel rekening houdend met de beste prijs-kwaliteitsverhouding.</w:t>
      </w:r>
      <w:r w:rsidR="00F07DB4" w:rsidRPr="00F07DB4">
        <w:rPr>
          <w:lang w:val="nl-BE"/>
        </w:rPr>
        <w:t xml:space="preserve"> </w:t>
      </w:r>
    </w:p>
    <w:p w14:paraId="6E2D85F9" w14:textId="77777777" w:rsidR="00716CAF" w:rsidRPr="00465FC9" w:rsidRDefault="00716CAF" w:rsidP="00716CAF">
      <w:pPr>
        <w:pStyle w:val="Kop4"/>
        <w:rPr>
          <w:rFonts w:eastAsia="Lato"/>
          <w:lang w:val="nl-BE"/>
        </w:rPr>
      </w:pPr>
      <w:r w:rsidRPr="00465FC9">
        <w:rPr>
          <w:rFonts w:eastAsia="Lato"/>
          <w:lang w:val="nl-BE"/>
        </w:rPr>
        <w:t>Gunnen op basis van de kosten(effectiviteit)</w:t>
      </w:r>
    </w:p>
    <w:p w14:paraId="637989C1" w14:textId="10DC1D3C" w:rsidR="00716CAF" w:rsidRPr="000B25E2" w:rsidRDefault="00716CAF" w:rsidP="00716CAF">
      <w:pPr>
        <w:rPr>
          <w:rFonts w:eastAsia="Lato" w:cs="Lato"/>
          <w:color w:val="000000" w:themeColor="text1"/>
        </w:rPr>
      </w:pPr>
      <w:r w:rsidRPr="558C568B">
        <w:rPr>
          <w:rFonts w:eastAsia="Lato" w:cs="Lato"/>
          <w:color w:val="000000" w:themeColor="text1"/>
        </w:rPr>
        <w:t xml:space="preserve">Om als </w:t>
      </w:r>
      <w:r>
        <w:rPr>
          <w:rFonts w:eastAsia="Lato" w:cs="Lato"/>
          <w:color w:val="000000" w:themeColor="text1"/>
        </w:rPr>
        <w:t>aanbesteder</w:t>
      </w:r>
      <w:r w:rsidRPr="558C568B">
        <w:rPr>
          <w:rFonts w:eastAsia="Lato" w:cs="Lato"/>
          <w:color w:val="000000" w:themeColor="text1"/>
        </w:rPr>
        <w:t xml:space="preserve"> offertes effectiever te beoordelen, wordt het steeds meer aangewezen om verder te kijken dan de prijs voor de aanschaf van een goed, dienst of werk. Daarom wordt steeds vaker de volledige gebruiksduur mee in beschouwing g</w:t>
      </w:r>
      <w:r>
        <w:rPr>
          <w:rFonts w:eastAsia="Lato" w:cs="Lato"/>
          <w:color w:val="000000" w:themeColor="text1"/>
        </w:rPr>
        <w:t>e</w:t>
      </w:r>
      <w:r w:rsidRPr="558C568B">
        <w:rPr>
          <w:rFonts w:eastAsia="Lato" w:cs="Lato"/>
          <w:color w:val="000000" w:themeColor="text1"/>
        </w:rPr>
        <w:t xml:space="preserve">nomen. Bepaalde producten kunnen op korte termijn iets duurder zijn in aanschaf, maar kunnen op langere termijn de meest budgetvriendelijke en efficiënte keuze blijken. Deze benadering vraagt een verschuiving van een prijsperceptie naar een kostenperceptie. De totale kostenbenadering wordt vaak uitgedrukt in </w:t>
      </w:r>
      <w:r>
        <w:rPr>
          <w:rFonts w:eastAsia="Lato" w:cs="Lato"/>
          <w:color w:val="000000" w:themeColor="text1"/>
        </w:rPr>
        <w:t>“</w:t>
      </w:r>
      <w:r w:rsidRPr="558C568B">
        <w:rPr>
          <w:rFonts w:eastAsia="Lato" w:cs="Lato"/>
          <w:color w:val="000000" w:themeColor="text1"/>
        </w:rPr>
        <w:t>levenscycluskosten</w:t>
      </w:r>
      <w:r>
        <w:rPr>
          <w:rFonts w:eastAsia="Lato" w:cs="Lato"/>
          <w:color w:val="000000" w:themeColor="text1"/>
        </w:rPr>
        <w:t>”</w:t>
      </w:r>
      <w:r w:rsidRPr="558C568B">
        <w:rPr>
          <w:rFonts w:eastAsia="Lato" w:cs="Lato"/>
          <w:color w:val="000000" w:themeColor="text1"/>
        </w:rPr>
        <w:t>.</w:t>
      </w:r>
    </w:p>
    <w:p w14:paraId="48A6AB52" w14:textId="77777777" w:rsidR="00716CAF" w:rsidRDefault="00716CAF" w:rsidP="00716CAF">
      <w:pPr>
        <w:rPr>
          <w:rFonts w:eastAsia="Lato" w:cs="Lato"/>
          <w:color w:val="000000" w:themeColor="text1"/>
        </w:rPr>
      </w:pPr>
      <w:r w:rsidRPr="3273CE1F">
        <w:rPr>
          <w:rFonts w:eastAsia="Lato" w:cs="Lato"/>
          <w:color w:val="000000" w:themeColor="text1"/>
        </w:rPr>
        <w:lastRenderedPageBreak/>
        <w:t>Het begrip levenscycluskosten omvat alle kosten binnen de levenscyclus van een werk, levering of dienst. Dat behelst de interne kosten, bijvoorbeeld voor benodigde research, ontwikkeling, productie, vervoer, gebruik, onderhoud en verwijdering</w:t>
      </w:r>
      <w:r>
        <w:rPr>
          <w:rFonts w:eastAsia="Lato" w:cs="Lato"/>
          <w:color w:val="000000" w:themeColor="text1"/>
        </w:rPr>
        <w:t>.</w:t>
      </w:r>
      <w:r w:rsidRPr="3273CE1F">
        <w:rPr>
          <w:rFonts w:eastAsia="Lato" w:cs="Lato"/>
          <w:color w:val="000000" w:themeColor="text1"/>
        </w:rPr>
        <w:t xml:space="preserve"> </w:t>
      </w:r>
      <w:r>
        <w:rPr>
          <w:rFonts w:eastAsia="Lato" w:cs="Lato"/>
          <w:color w:val="000000" w:themeColor="text1"/>
        </w:rPr>
        <w:t>Daarnaast kan h</w:t>
      </w:r>
      <w:r w:rsidRPr="3273CE1F">
        <w:rPr>
          <w:rFonts w:eastAsia="Lato" w:cs="Lato"/>
          <w:color w:val="000000" w:themeColor="text1"/>
        </w:rPr>
        <w:t xml:space="preserve">et kosten omvatten die toe te schrijven zijn aan externe milieueffecten of externaliteiten, zoals verontreiniging veroorzaakt door de winning van de in het product verwerkte grondstoffen, door het product zelf of bij de productie ervan, mits die in geld uitgedrukt en gecontroleerd kunnen worden. </w:t>
      </w:r>
    </w:p>
    <w:p w14:paraId="3D074C72" w14:textId="47996BEB" w:rsidR="00716CAF" w:rsidRPr="000B25E2" w:rsidRDefault="006D5663" w:rsidP="00716CAF">
      <w:pPr>
        <w:rPr>
          <w:rFonts w:eastAsia="Lato" w:cs="Lato"/>
          <w:color w:val="000000" w:themeColor="text1"/>
        </w:rPr>
      </w:pPr>
      <w:r>
        <w:rPr>
          <w:rFonts w:eastAsia="Lato" w:cs="Lato"/>
          <w:color w:val="000000" w:themeColor="text1"/>
        </w:rPr>
        <w:t>Enkele v</w:t>
      </w:r>
      <w:r w:rsidR="00716CAF" w:rsidRPr="3273CE1F">
        <w:rPr>
          <w:rFonts w:eastAsia="Lato" w:cs="Lato"/>
          <w:color w:val="000000" w:themeColor="text1"/>
        </w:rPr>
        <w:t>oorbeelden waarin een totale kostenbenadering wordt meegenomen</w:t>
      </w:r>
      <w:r w:rsidR="00BF3ED0">
        <w:rPr>
          <w:rFonts w:eastAsia="Lato" w:cs="Lato"/>
          <w:color w:val="000000" w:themeColor="text1"/>
        </w:rPr>
        <w:t>,</w:t>
      </w:r>
      <w:r w:rsidR="00716CAF" w:rsidRPr="3273CE1F">
        <w:rPr>
          <w:rFonts w:eastAsia="Lato" w:cs="Lato"/>
          <w:color w:val="000000" w:themeColor="text1"/>
        </w:rPr>
        <w:t xml:space="preserve"> zijn de aankoop van energie-efficiënte machines, kwalitatieve werkkledij met lange</w:t>
      </w:r>
      <w:r w:rsidR="00D57DCF">
        <w:rPr>
          <w:rFonts w:eastAsia="Lato" w:cs="Lato"/>
          <w:color w:val="000000" w:themeColor="text1"/>
        </w:rPr>
        <w:t>(re)</w:t>
      </w:r>
      <w:r w:rsidR="00716CAF" w:rsidRPr="3273CE1F">
        <w:rPr>
          <w:rFonts w:eastAsia="Lato" w:cs="Lato"/>
          <w:color w:val="000000" w:themeColor="text1"/>
        </w:rPr>
        <w:t xml:space="preserve"> levensduur, waterbesparende sanitaire installaties, cateringoplossingen met</w:t>
      </w:r>
      <w:r w:rsidR="00BF4D22">
        <w:rPr>
          <w:rFonts w:eastAsia="Lato" w:cs="Lato"/>
          <w:color w:val="000000" w:themeColor="text1"/>
        </w:rPr>
        <w:t xml:space="preserve"> een</w:t>
      </w:r>
      <w:r w:rsidR="00716CAF" w:rsidRPr="3273CE1F">
        <w:rPr>
          <w:rFonts w:eastAsia="Lato" w:cs="Lato"/>
          <w:color w:val="000000" w:themeColor="text1"/>
        </w:rPr>
        <w:t xml:space="preserve"> focus op minimale afvalproductie...</w:t>
      </w:r>
    </w:p>
    <w:p w14:paraId="5C0C7B38" w14:textId="4CFE9270" w:rsidR="00716CAF" w:rsidRPr="000B25E2" w:rsidRDefault="00716CAF" w:rsidP="00716CAF">
      <w:pPr>
        <w:rPr>
          <w:rFonts w:eastAsia="Lato" w:cs="Lato"/>
          <w:color w:val="000000" w:themeColor="text1"/>
        </w:rPr>
      </w:pPr>
      <w:r w:rsidRPr="3273CE1F">
        <w:rPr>
          <w:rFonts w:eastAsia="Lato" w:cs="Lato"/>
          <w:color w:val="000000" w:themeColor="text1"/>
        </w:rPr>
        <w:t xml:space="preserve">De methoden die </w:t>
      </w:r>
      <w:r>
        <w:rPr>
          <w:rFonts w:eastAsia="Lato" w:cs="Lato"/>
          <w:color w:val="000000" w:themeColor="text1"/>
        </w:rPr>
        <w:t>aanbesteders</w:t>
      </w:r>
      <w:r w:rsidRPr="3273CE1F">
        <w:rPr>
          <w:rFonts w:eastAsia="Lato" w:cs="Lato"/>
          <w:color w:val="000000" w:themeColor="text1"/>
        </w:rPr>
        <w:t xml:space="preserve"> gebruiken voor de raming van aan externe milieueffecten toe te schrijven kosten moeten evenwel vooraf op een objectieve en niet-discriminerende manier worden gekozen en voor alle betrokken partijen toegankelijk zijn. Die methoden kunnen nationaal, regionaal of lokaal worden vastgesteld</w:t>
      </w:r>
      <w:r>
        <w:rPr>
          <w:rFonts w:eastAsia="Lato" w:cs="Lato"/>
          <w:color w:val="000000" w:themeColor="text1"/>
        </w:rPr>
        <w:t>.</w:t>
      </w:r>
      <w:r w:rsidRPr="3273CE1F">
        <w:rPr>
          <w:rFonts w:eastAsia="Lato" w:cs="Lato"/>
          <w:color w:val="000000" w:themeColor="text1"/>
        </w:rPr>
        <w:t xml:space="preserve"> </w:t>
      </w:r>
      <w:r>
        <w:rPr>
          <w:rFonts w:eastAsia="Lato" w:cs="Lato"/>
          <w:color w:val="000000" w:themeColor="text1"/>
        </w:rPr>
        <w:t>O</w:t>
      </w:r>
      <w:r w:rsidRPr="3273CE1F">
        <w:rPr>
          <w:rFonts w:eastAsia="Lato" w:cs="Lato"/>
          <w:color w:val="000000" w:themeColor="text1"/>
        </w:rPr>
        <w:t xml:space="preserve">m vervalsing van de mededinging door maatwerk te voorkomen, moeten zij echter algemeen van opzet blijven, in die zin dat zij niet specifiek voor een bepaalde openbare aanbestedingsprocedure bedoeld mogen zijn. </w:t>
      </w:r>
      <w:r>
        <w:rPr>
          <w:rFonts w:eastAsia="Lato" w:cs="Lato"/>
          <w:color w:val="000000" w:themeColor="text1"/>
        </w:rPr>
        <w:t>Voor verdere informatie over</w:t>
      </w:r>
      <w:r w:rsidRPr="3273CE1F">
        <w:rPr>
          <w:rFonts w:eastAsia="Lato" w:cs="Lato"/>
          <w:color w:val="000000" w:themeColor="text1"/>
        </w:rPr>
        <w:t xml:space="preserve"> de levenscycluskosten </w:t>
      </w:r>
      <w:r>
        <w:rPr>
          <w:rFonts w:eastAsia="Lato" w:cs="Lato"/>
          <w:color w:val="000000" w:themeColor="text1"/>
        </w:rPr>
        <w:t>verwijzen we</w:t>
      </w:r>
      <w:r w:rsidRPr="3273CE1F">
        <w:rPr>
          <w:rFonts w:eastAsia="Lato" w:cs="Lato"/>
          <w:color w:val="000000" w:themeColor="text1"/>
        </w:rPr>
        <w:t xml:space="preserve"> naar de </w:t>
      </w:r>
      <w:hyperlink r:id="rId90" w:history="1">
        <w:r w:rsidRPr="00EF09DC">
          <w:rPr>
            <w:rStyle w:val="Hyperlink"/>
            <w:rFonts w:eastAsia="Lato" w:cs="Lato"/>
            <w:i/>
            <w:iCs/>
          </w:rPr>
          <w:t>Gids voor duurzame aankopen</w:t>
        </w:r>
      </w:hyperlink>
      <w:r w:rsidRPr="3273CE1F">
        <w:rPr>
          <w:rStyle w:val="Voetnootmarkering"/>
          <w:rFonts w:eastAsia="Lato" w:cs="Lato"/>
          <w:i/>
          <w:iCs/>
          <w:color w:val="000000" w:themeColor="text1"/>
        </w:rPr>
        <w:footnoteReference w:id="9"/>
      </w:r>
      <w:r w:rsidRPr="3273CE1F">
        <w:rPr>
          <w:rFonts w:eastAsia="Lato" w:cs="Lato"/>
          <w:i/>
          <w:iCs/>
          <w:color w:val="000000" w:themeColor="text1"/>
        </w:rPr>
        <w:t>.</w:t>
      </w:r>
      <w:r w:rsidRPr="3273CE1F">
        <w:rPr>
          <w:rFonts w:eastAsia="Lato" w:cs="Lato"/>
          <w:color w:val="000000" w:themeColor="text1"/>
        </w:rPr>
        <w:t xml:space="preserve"> </w:t>
      </w:r>
    </w:p>
    <w:p w14:paraId="65DFE9F5" w14:textId="77777777" w:rsidR="00716CAF" w:rsidRPr="000B25E2" w:rsidRDefault="00716CAF" w:rsidP="00716CAF">
      <w:pPr>
        <w:rPr>
          <w:rFonts w:eastAsia="Lato" w:cs="Lato"/>
          <w:color w:val="000000" w:themeColor="text1"/>
        </w:rPr>
      </w:pPr>
      <w:r w:rsidRPr="3273CE1F">
        <w:rPr>
          <w:rFonts w:eastAsia="Lato" w:cs="Lato"/>
          <w:color w:val="000000" w:themeColor="text1"/>
        </w:rPr>
        <w:t xml:space="preserve">Bij gebruik van </w:t>
      </w:r>
      <w:r>
        <w:rPr>
          <w:rFonts w:eastAsia="Lato" w:cs="Lato"/>
          <w:color w:val="000000" w:themeColor="text1"/>
        </w:rPr>
        <w:t xml:space="preserve">het criterium </w:t>
      </w:r>
      <w:r w:rsidRPr="3273CE1F">
        <w:rPr>
          <w:rFonts w:eastAsia="Lato" w:cs="Lato"/>
          <w:color w:val="000000" w:themeColor="text1"/>
        </w:rPr>
        <w:t xml:space="preserve">laagste kosten gaat het in feite </w:t>
      </w:r>
      <w:r>
        <w:rPr>
          <w:rFonts w:eastAsia="Lato" w:cs="Lato"/>
          <w:color w:val="000000" w:themeColor="text1"/>
        </w:rPr>
        <w:t>ook</w:t>
      </w:r>
      <w:r w:rsidRPr="3273CE1F">
        <w:rPr>
          <w:rFonts w:eastAsia="Lato" w:cs="Lato"/>
          <w:color w:val="000000" w:themeColor="text1"/>
        </w:rPr>
        <w:t xml:space="preserve"> om een op geld gebaseerde afweging, maar door alle denkbare kosten en externaliteiten mee te nemen in de raming neemt de aanbesteder ook impliciet kwaliteitsaspecten mee. </w:t>
      </w:r>
      <w:r w:rsidRPr="00356847">
        <w:rPr>
          <w:rFonts w:eastAsia="Lato" w:cs="Lato"/>
          <w:b/>
          <w:bCs/>
          <w:color w:val="000000" w:themeColor="text1"/>
        </w:rPr>
        <w:t>Zeker als de aanbesteder beschikt over goede data en eenduidige meetmethoden om bijvoorbeeld de levenscycluskosten in kaart te brengen, is dit gunningscriterium te overwegen</w:t>
      </w:r>
      <w:r w:rsidRPr="00AB1C3A">
        <w:rPr>
          <w:rFonts w:eastAsia="Lato" w:cs="Lato"/>
          <w:b/>
          <w:bCs/>
          <w:color w:val="000000" w:themeColor="text1"/>
        </w:rPr>
        <w:t>.</w:t>
      </w:r>
      <w:r w:rsidRPr="3273CE1F">
        <w:rPr>
          <w:rFonts w:eastAsia="Lato" w:cs="Lato"/>
          <w:color w:val="000000" w:themeColor="text1"/>
        </w:rPr>
        <w:t xml:space="preserve"> D</w:t>
      </w:r>
      <w:r>
        <w:rPr>
          <w:rFonts w:eastAsia="Lato" w:cs="Lato"/>
          <w:color w:val="000000" w:themeColor="text1"/>
        </w:rPr>
        <w:t>a</w:t>
      </w:r>
      <w:r w:rsidRPr="3273CE1F">
        <w:rPr>
          <w:rFonts w:eastAsia="Lato" w:cs="Lato"/>
          <w:color w:val="000000" w:themeColor="text1"/>
        </w:rPr>
        <w:t xml:space="preserve">t kan evenwel </w:t>
      </w:r>
      <w:r>
        <w:rPr>
          <w:rFonts w:eastAsia="Lato" w:cs="Lato"/>
          <w:color w:val="000000" w:themeColor="text1"/>
        </w:rPr>
        <w:t xml:space="preserve">op korte termijn extra </w:t>
      </w:r>
      <w:r w:rsidRPr="3273CE1F">
        <w:rPr>
          <w:rFonts w:eastAsia="Lato" w:cs="Lato"/>
          <w:color w:val="000000" w:themeColor="text1"/>
        </w:rPr>
        <w:t>kosten met zich meebrengen voor zowel de aanbesteder als de inschrijvers.</w:t>
      </w:r>
    </w:p>
    <w:p w14:paraId="5A1F5B4E" w14:textId="77777777" w:rsidR="00716CAF" w:rsidRDefault="00716CAF" w:rsidP="00716CAF">
      <w:pPr>
        <w:rPr>
          <w:rFonts w:eastAsia="Lato" w:cs="Lato"/>
          <w:color w:val="000000" w:themeColor="text1"/>
        </w:rPr>
      </w:pPr>
      <w:r w:rsidRPr="3273CE1F">
        <w:rPr>
          <w:rFonts w:eastAsia="Lato" w:cs="Lato"/>
          <w:color w:val="000000" w:themeColor="text1"/>
        </w:rPr>
        <w:t xml:space="preserve">Samenvattend is het gunningscriterium laagste kosten </w:t>
      </w:r>
      <w:r w:rsidRPr="00D61782">
        <w:rPr>
          <w:rFonts w:eastAsia="Lato" w:cs="Lato"/>
          <w:b/>
          <w:bCs/>
          <w:color w:val="000000" w:themeColor="text1"/>
        </w:rPr>
        <w:t>het overwegen waard bij aanbestedingen waarbij kosten gedurende de levensduur wezenlijk van elkaar verschillen</w:t>
      </w:r>
      <w:r w:rsidRPr="3273CE1F">
        <w:rPr>
          <w:rFonts w:eastAsia="Lato" w:cs="Lato"/>
          <w:color w:val="000000" w:themeColor="text1"/>
        </w:rPr>
        <w:t xml:space="preserve">. </w:t>
      </w:r>
      <w:r>
        <w:rPr>
          <w:rFonts w:eastAsia="Lato" w:cs="Lato"/>
          <w:color w:val="000000" w:themeColor="text1"/>
        </w:rPr>
        <w:t>Dat</w:t>
      </w:r>
      <w:r w:rsidRPr="00C22738">
        <w:rPr>
          <w:rFonts w:eastAsia="Lato" w:cs="Lato"/>
          <w:color w:val="000000" w:themeColor="text1"/>
        </w:rPr>
        <w:t xml:space="preserve"> kan gaan om bijvoorbeeld onderhoudskosten, verwijderingskosten of externe milieukosten.</w:t>
      </w:r>
      <w:r>
        <w:rPr>
          <w:rFonts w:eastAsia="Lato" w:cs="Lato"/>
          <w:color w:val="000000" w:themeColor="text1"/>
        </w:rPr>
        <w:t xml:space="preserve"> Die aanpak</w:t>
      </w:r>
      <w:r w:rsidRPr="3273CE1F">
        <w:rPr>
          <w:rFonts w:eastAsia="Lato" w:cs="Lato"/>
          <w:color w:val="000000" w:themeColor="text1"/>
        </w:rPr>
        <w:t xml:space="preserve"> kan uiteindelijk resulteren in offertes met een hogere inschrijvingsprijs, i.e. de aanschafprijs kan hoger liggen</w:t>
      </w:r>
      <w:r>
        <w:rPr>
          <w:rFonts w:eastAsia="Lato" w:cs="Lato"/>
          <w:color w:val="000000" w:themeColor="text1"/>
        </w:rPr>
        <w:t>,</w:t>
      </w:r>
      <w:r w:rsidRPr="3273CE1F">
        <w:rPr>
          <w:rFonts w:eastAsia="Lato" w:cs="Lato"/>
          <w:color w:val="000000" w:themeColor="text1"/>
        </w:rPr>
        <w:t xml:space="preserve"> terwijl de uiteindelijke </w:t>
      </w:r>
      <w:r>
        <w:rPr>
          <w:rFonts w:eastAsia="Lato" w:cs="Lato"/>
          <w:color w:val="000000" w:themeColor="text1"/>
        </w:rPr>
        <w:t>energie-</w:t>
      </w:r>
      <w:r w:rsidRPr="3273CE1F">
        <w:rPr>
          <w:rFonts w:eastAsia="Lato" w:cs="Lato"/>
          <w:color w:val="000000" w:themeColor="text1"/>
        </w:rPr>
        <w:t xml:space="preserve">, </w:t>
      </w:r>
      <w:r>
        <w:rPr>
          <w:rFonts w:eastAsia="Lato" w:cs="Lato"/>
          <w:color w:val="000000" w:themeColor="text1"/>
        </w:rPr>
        <w:t>onderhouds</w:t>
      </w:r>
      <w:r w:rsidRPr="3273CE1F">
        <w:rPr>
          <w:rFonts w:eastAsia="Lato" w:cs="Lato"/>
          <w:color w:val="000000" w:themeColor="text1"/>
        </w:rPr>
        <w:t xml:space="preserve">- of andere kosten veel lager kunnen zijn. </w:t>
      </w:r>
      <w:r w:rsidRPr="00C22738">
        <w:rPr>
          <w:rFonts w:eastAsia="Lato" w:cs="Lato"/>
          <w:b/>
          <w:bCs/>
          <w:color w:val="000000" w:themeColor="text1"/>
        </w:rPr>
        <w:t xml:space="preserve">Een </w:t>
      </w:r>
      <w:r w:rsidRPr="00916FFA">
        <w:rPr>
          <w:rFonts w:eastAsia="Lato" w:cs="Lato"/>
          <w:b/>
          <w:bCs/>
          <w:color w:val="0070C0"/>
        </w:rPr>
        <w:t xml:space="preserve">goede kennis van de markt </w:t>
      </w:r>
      <w:r w:rsidRPr="00C22738">
        <w:rPr>
          <w:rFonts w:eastAsia="Lato" w:cs="Lato"/>
          <w:b/>
          <w:bCs/>
          <w:color w:val="000000" w:themeColor="text1"/>
        </w:rPr>
        <w:t xml:space="preserve">is met andere woorden </w:t>
      </w:r>
      <w:r w:rsidRPr="00916FFA">
        <w:rPr>
          <w:rFonts w:eastAsia="Lato" w:cs="Lato"/>
          <w:b/>
          <w:bCs/>
          <w:color w:val="0070C0"/>
        </w:rPr>
        <w:t xml:space="preserve">onontbeerlijk </w:t>
      </w:r>
      <w:r w:rsidRPr="00C22738">
        <w:rPr>
          <w:rFonts w:eastAsia="Lato" w:cs="Lato"/>
          <w:b/>
          <w:bCs/>
          <w:color w:val="000000" w:themeColor="text1"/>
        </w:rPr>
        <w:t>om te bepalen of levenscycluskosten van belang zijn</w:t>
      </w:r>
      <w:r w:rsidRPr="3273CE1F">
        <w:rPr>
          <w:rFonts w:eastAsia="Lato" w:cs="Lato"/>
          <w:color w:val="000000" w:themeColor="text1"/>
        </w:rPr>
        <w:t>.</w:t>
      </w:r>
    </w:p>
    <w:p w14:paraId="7FFEB079" w14:textId="77777777" w:rsidR="00716CAF" w:rsidRPr="00465FC9" w:rsidRDefault="00716CAF" w:rsidP="00716CAF">
      <w:pPr>
        <w:pStyle w:val="Kop4"/>
        <w:rPr>
          <w:rFonts w:eastAsia="Lato"/>
          <w:lang w:val="nl-BE"/>
        </w:rPr>
      </w:pPr>
      <w:r w:rsidRPr="00465FC9">
        <w:rPr>
          <w:rFonts w:eastAsia="Lato"/>
          <w:lang w:val="nl-BE"/>
        </w:rPr>
        <w:t>Gunnen op basis van de beste prijs-kwaliteitsverhouding</w:t>
      </w:r>
    </w:p>
    <w:p w14:paraId="68C51CCC" w14:textId="53378430" w:rsidR="00716CAF" w:rsidRDefault="00716CAF" w:rsidP="00716CAF">
      <w:pPr>
        <w:rPr>
          <w:rFonts w:eastAsia="Lato" w:cs="Lato"/>
          <w:color w:val="000000" w:themeColor="text1"/>
        </w:rPr>
      </w:pPr>
      <w:r w:rsidRPr="5BCC2480">
        <w:rPr>
          <w:rFonts w:eastAsia="Lato" w:cs="Lato"/>
          <w:color w:val="000000" w:themeColor="text1"/>
        </w:rPr>
        <w:t>Wanneer de aanbesteder de offertes wenst te beoordelen op basis van de beste prijs-kwaliteitsverhouding, dan omvat d</w:t>
      </w:r>
      <w:r>
        <w:rPr>
          <w:rFonts w:eastAsia="Lato" w:cs="Lato"/>
          <w:color w:val="000000" w:themeColor="text1"/>
        </w:rPr>
        <w:t>a</w:t>
      </w:r>
      <w:r w:rsidRPr="5BCC2480">
        <w:rPr>
          <w:rFonts w:eastAsia="Lato" w:cs="Lato"/>
          <w:color w:val="000000" w:themeColor="text1"/>
        </w:rPr>
        <w:t>t zowel een prijs</w:t>
      </w:r>
      <w:r w:rsidR="009269C5">
        <w:rPr>
          <w:rFonts w:eastAsia="Lato" w:cs="Lato"/>
          <w:color w:val="000000" w:themeColor="text1"/>
        </w:rPr>
        <w:t>-</w:t>
      </w:r>
      <w:r w:rsidRPr="5BCC2480">
        <w:rPr>
          <w:rFonts w:eastAsia="Lato" w:cs="Lato"/>
          <w:color w:val="000000" w:themeColor="text1"/>
        </w:rPr>
        <w:t xml:space="preserve"> of kosten</w:t>
      </w:r>
      <w:r w:rsidR="009269C5">
        <w:rPr>
          <w:rFonts w:eastAsia="Lato" w:cs="Lato"/>
          <w:color w:val="000000" w:themeColor="text1"/>
        </w:rPr>
        <w:t>aspect</w:t>
      </w:r>
      <w:r w:rsidRPr="5BCC2480">
        <w:rPr>
          <w:rFonts w:eastAsia="Lato" w:cs="Lato"/>
          <w:color w:val="000000" w:themeColor="text1"/>
        </w:rPr>
        <w:t xml:space="preserve"> als een kwaliteitsaspect. </w:t>
      </w:r>
      <w:r>
        <w:rPr>
          <w:rFonts w:eastAsia="Lato" w:cs="Lato"/>
          <w:color w:val="000000" w:themeColor="text1"/>
        </w:rPr>
        <w:t>Zo</w:t>
      </w:r>
      <w:r w:rsidRPr="5BCC2480">
        <w:rPr>
          <w:rFonts w:eastAsia="Lato" w:cs="Lato"/>
          <w:color w:val="000000" w:themeColor="text1"/>
        </w:rPr>
        <w:t xml:space="preserve"> kunnen </w:t>
      </w:r>
      <w:r>
        <w:rPr>
          <w:rFonts w:eastAsia="Lato" w:cs="Lato"/>
          <w:color w:val="000000" w:themeColor="text1"/>
        </w:rPr>
        <w:t xml:space="preserve">dus </w:t>
      </w:r>
      <w:r w:rsidRPr="5BCC2480">
        <w:rPr>
          <w:rFonts w:eastAsia="Lato" w:cs="Lato"/>
          <w:color w:val="000000" w:themeColor="text1"/>
        </w:rPr>
        <w:t xml:space="preserve">ook andere kwaliteitsaspecten en alternatieven voor “prijs” meegenomen worden, zoals </w:t>
      </w:r>
      <w:r w:rsidR="00D96F09">
        <w:rPr>
          <w:rFonts w:eastAsia="Lato" w:cs="Lato"/>
          <w:color w:val="000000" w:themeColor="text1"/>
        </w:rPr>
        <w:t xml:space="preserve">de </w:t>
      </w:r>
      <w:r w:rsidRPr="5BCC2480">
        <w:rPr>
          <w:rFonts w:eastAsia="Lato" w:cs="Lato"/>
          <w:color w:val="000000" w:themeColor="text1"/>
        </w:rPr>
        <w:t>dienst na verkoop, transportkosten, voorgestelde uitvoeringstermijnen</w:t>
      </w:r>
      <w:r w:rsidR="00D96F09">
        <w:rPr>
          <w:rFonts w:eastAsia="Lato" w:cs="Lato"/>
          <w:color w:val="000000" w:themeColor="text1"/>
        </w:rPr>
        <w:t>,</w:t>
      </w:r>
      <w:r w:rsidRPr="5BCC2480">
        <w:rPr>
          <w:rFonts w:eastAsia="Lato" w:cs="Lato"/>
          <w:color w:val="000000" w:themeColor="text1"/>
        </w:rPr>
        <w:t xml:space="preserve"> </w:t>
      </w:r>
      <w:r w:rsidR="00D96F09" w:rsidRPr="5BCC2480">
        <w:rPr>
          <w:rFonts w:eastAsia="Lato" w:cs="Lato"/>
          <w:color w:val="000000" w:themeColor="text1"/>
        </w:rPr>
        <w:t>e</w:t>
      </w:r>
      <w:r w:rsidR="00D96F09">
        <w:rPr>
          <w:rFonts w:eastAsia="Lato" w:cs="Lato"/>
          <w:color w:val="000000" w:themeColor="text1"/>
        </w:rPr>
        <w:t>tc</w:t>
      </w:r>
      <w:r w:rsidRPr="5BCC2480">
        <w:rPr>
          <w:rFonts w:eastAsia="Lato" w:cs="Lato"/>
          <w:color w:val="000000" w:themeColor="text1"/>
        </w:rPr>
        <w:t xml:space="preserve">. Het is hier </w:t>
      </w:r>
      <w:r>
        <w:rPr>
          <w:rFonts w:eastAsia="Lato" w:cs="Lato"/>
          <w:color w:val="000000" w:themeColor="text1"/>
        </w:rPr>
        <w:t>ook</w:t>
      </w:r>
      <w:r w:rsidRPr="5BCC2480">
        <w:rPr>
          <w:rFonts w:eastAsia="Lato" w:cs="Lato"/>
          <w:color w:val="000000" w:themeColor="text1"/>
        </w:rPr>
        <w:t xml:space="preserve"> mogelijk om</w:t>
      </w:r>
      <w:r>
        <w:rPr>
          <w:rFonts w:eastAsia="Lato" w:cs="Lato"/>
          <w:color w:val="000000" w:themeColor="text1"/>
        </w:rPr>
        <w:t xml:space="preserve"> bijvoorbeeld</w:t>
      </w:r>
      <w:r w:rsidRPr="5BCC2480">
        <w:rPr>
          <w:rFonts w:eastAsia="Lato" w:cs="Lato"/>
          <w:color w:val="000000" w:themeColor="text1"/>
        </w:rPr>
        <w:t xml:space="preserve"> levenscycluskosten als één van de gunningscriteria mee te nemen.</w:t>
      </w:r>
    </w:p>
    <w:p w14:paraId="6CEEAE46" w14:textId="1C98C959" w:rsidR="00716CAF" w:rsidRDefault="00716CAF" w:rsidP="00716CAF">
      <w:pPr>
        <w:rPr>
          <w:rFonts w:eastAsia="Lato" w:cs="Lato"/>
          <w:color w:val="000000" w:themeColor="text1"/>
        </w:rPr>
      </w:pPr>
      <w:r>
        <w:rPr>
          <w:rFonts w:eastAsia="Lato" w:cs="Lato"/>
          <w:color w:val="000000" w:themeColor="text1"/>
        </w:rPr>
        <w:t>Belangrijk is</w:t>
      </w:r>
      <w:r w:rsidRPr="3273CE1F">
        <w:rPr>
          <w:rFonts w:eastAsia="Lato" w:cs="Lato"/>
          <w:color w:val="000000" w:themeColor="text1"/>
        </w:rPr>
        <w:t xml:space="preserve"> evenwel dat de gunningsbeslissing, op enkele uitzonderlijke gevallen na, niet uitsluitend gebaseerd mag zijn op andere dan kostengerelateerde criteria. </w:t>
      </w:r>
      <w:r w:rsidRPr="00916FFA">
        <w:rPr>
          <w:rFonts w:eastAsia="Lato" w:cs="Lato"/>
          <w:b/>
          <w:bCs/>
          <w:color w:val="0070C0"/>
        </w:rPr>
        <w:t xml:space="preserve">Dat impliceert eveneens dat het </w:t>
      </w:r>
      <w:r w:rsidR="00B91BB2" w:rsidRPr="00916FFA">
        <w:rPr>
          <w:rFonts w:eastAsia="Lato" w:cs="Lato"/>
          <w:b/>
          <w:bCs/>
          <w:color w:val="0070C0"/>
        </w:rPr>
        <w:t>prij</w:t>
      </w:r>
      <w:r w:rsidR="00D96150" w:rsidRPr="00916FFA">
        <w:rPr>
          <w:rFonts w:eastAsia="Lato" w:cs="Lato"/>
          <w:b/>
          <w:bCs/>
          <w:color w:val="0070C0"/>
        </w:rPr>
        <w:t>s- of kostencriterium</w:t>
      </w:r>
      <w:r w:rsidRPr="00916FFA">
        <w:rPr>
          <w:rFonts w:eastAsia="Lato" w:cs="Lato"/>
          <w:b/>
          <w:bCs/>
          <w:color w:val="0070C0"/>
        </w:rPr>
        <w:t xml:space="preserve"> niet doorslaggevend mag zijn qua gewicht omdat de beoordeling dan zou verworden tot een beoordeling op basis van prijs of kosten.</w:t>
      </w:r>
    </w:p>
    <w:p w14:paraId="1BA0B06A" w14:textId="77777777" w:rsidR="00716CAF" w:rsidRDefault="00716CAF" w:rsidP="00716CAF">
      <w:pPr>
        <w:rPr>
          <w:rFonts w:eastAsia="Lato" w:cs="Lato"/>
          <w:color w:val="000000" w:themeColor="text1"/>
        </w:rPr>
      </w:pPr>
      <w:r w:rsidRPr="5BCC2480">
        <w:rPr>
          <w:rFonts w:eastAsia="Lato" w:cs="Lato"/>
          <w:color w:val="000000" w:themeColor="text1"/>
        </w:rPr>
        <w:t xml:space="preserve">Uitzonderlijk is het wél mogelijk om ondernemers te laten concurreren op uitsluitend kwaliteitscriteria, bijvoorbeeld in geval van wettelijk vastgestelde prijzen of in het geval de aanbesteder het kwaliteitsniveau wenst te kennen dat zij voor een welbepaald budget kan verkrijgen. </w:t>
      </w:r>
    </w:p>
    <w:p w14:paraId="7E9C8515" w14:textId="6EF5EDDB" w:rsidR="00716CAF" w:rsidRDefault="00716CAF" w:rsidP="00716CAF">
      <w:pPr>
        <w:rPr>
          <w:rFonts w:eastAsia="Lato" w:cs="Lato"/>
          <w:color w:val="000000" w:themeColor="text1"/>
        </w:rPr>
      </w:pPr>
      <w:r w:rsidRPr="558C568B">
        <w:rPr>
          <w:rFonts w:eastAsia="Lato" w:cs="Lato"/>
          <w:color w:val="000000" w:themeColor="text1"/>
        </w:rPr>
        <w:t xml:space="preserve">Indien de aanbesteder ervoor kiest </w:t>
      </w:r>
      <w:r>
        <w:rPr>
          <w:rFonts w:eastAsia="Lato" w:cs="Lato"/>
          <w:color w:val="000000" w:themeColor="text1"/>
        </w:rPr>
        <w:t xml:space="preserve">om </w:t>
      </w:r>
      <w:r w:rsidRPr="558C568B">
        <w:rPr>
          <w:rFonts w:eastAsia="Lato" w:cs="Lato"/>
          <w:color w:val="000000" w:themeColor="text1"/>
        </w:rPr>
        <w:t xml:space="preserve">op deze manier te gunnen, is het belangrijk </w:t>
      </w:r>
      <w:r>
        <w:rPr>
          <w:rFonts w:eastAsia="Lato" w:cs="Lato"/>
          <w:color w:val="000000" w:themeColor="text1"/>
        </w:rPr>
        <w:t>om</w:t>
      </w:r>
      <w:r w:rsidRPr="558C568B">
        <w:rPr>
          <w:rFonts w:eastAsia="Lato" w:cs="Lato"/>
          <w:color w:val="000000" w:themeColor="text1"/>
        </w:rPr>
        <w:t xml:space="preserve"> vanaf de behoeftebepaling </w:t>
      </w:r>
      <w:r>
        <w:rPr>
          <w:rFonts w:eastAsia="Lato" w:cs="Lato"/>
          <w:color w:val="000000" w:themeColor="text1"/>
        </w:rPr>
        <w:t>en de</w:t>
      </w:r>
      <w:r w:rsidR="007D63A5">
        <w:rPr>
          <w:rFonts w:eastAsia="Lato" w:cs="Lato"/>
          <w:color w:val="000000" w:themeColor="text1"/>
        </w:rPr>
        <w:t xml:space="preserve"> voorafgaande</w:t>
      </w:r>
      <w:r>
        <w:rPr>
          <w:rFonts w:eastAsia="Lato" w:cs="Lato"/>
          <w:color w:val="000000" w:themeColor="text1"/>
        </w:rPr>
        <w:t xml:space="preserve"> marktverkenning </w:t>
      </w:r>
      <w:r w:rsidRPr="558C568B">
        <w:rPr>
          <w:rFonts w:eastAsia="Lato" w:cs="Lato"/>
          <w:color w:val="000000" w:themeColor="text1"/>
        </w:rPr>
        <w:t xml:space="preserve">aandacht </w:t>
      </w:r>
      <w:r>
        <w:rPr>
          <w:rFonts w:eastAsia="Lato" w:cs="Lato"/>
          <w:color w:val="000000" w:themeColor="text1"/>
        </w:rPr>
        <w:t xml:space="preserve">te hebben </w:t>
      </w:r>
      <w:r w:rsidRPr="558C568B">
        <w:rPr>
          <w:rFonts w:eastAsia="Lato" w:cs="Lato"/>
          <w:color w:val="000000" w:themeColor="text1"/>
        </w:rPr>
        <w:t xml:space="preserve">voor </w:t>
      </w:r>
      <w:r>
        <w:rPr>
          <w:rFonts w:eastAsia="Lato" w:cs="Lato"/>
          <w:color w:val="000000" w:themeColor="text1"/>
        </w:rPr>
        <w:t>potentiële</w:t>
      </w:r>
      <w:r w:rsidRPr="558C568B">
        <w:rPr>
          <w:rFonts w:eastAsia="Lato" w:cs="Lato"/>
          <w:color w:val="000000" w:themeColor="text1"/>
        </w:rPr>
        <w:t xml:space="preserve"> prijs-kwaliteitscriteria.</w:t>
      </w:r>
    </w:p>
    <w:p w14:paraId="55AA67C5" w14:textId="012E8539" w:rsidR="00716CAF" w:rsidRDefault="00716CAF" w:rsidP="00716CAF">
      <w:pPr>
        <w:rPr>
          <w:rFonts w:eastAsia="Lato" w:cs="Lato"/>
          <w:color w:val="000000" w:themeColor="text1"/>
        </w:rPr>
      </w:pPr>
      <w:r w:rsidRPr="558C568B">
        <w:rPr>
          <w:rFonts w:eastAsia="Lato" w:cs="Lato"/>
          <w:color w:val="000000" w:themeColor="text1"/>
        </w:rPr>
        <w:t>Hoewel deze b</w:t>
      </w:r>
      <w:r w:rsidRPr="558C568B">
        <w:rPr>
          <w:rFonts w:eastAsia="Lato" w:cs="Lato"/>
        </w:rPr>
        <w:t xml:space="preserve">enadering meer administratieve lasten voor de aanbesteder en kosten voor de inschrijvers met zich kan </w:t>
      </w:r>
      <w:r w:rsidR="007E442B" w:rsidRPr="558C568B">
        <w:rPr>
          <w:rFonts w:eastAsia="Lato" w:cs="Lato"/>
        </w:rPr>
        <w:t>mee</w:t>
      </w:r>
      <w:r w:rsidRPr="558C568B">
        <w:rPr>
          <w:rFonts w:eastAsia="Lato" w:cs="Lato"/>
        </w:rPr>
        <w:t>brengen, stimuleert de b</w:t>
      </w:r>
      <w:r w:rsidRPr="558C568B">
        <w:rPr>
          <w:rFonts w:eastAsia="Lato" w:cs="Lato"/>
          <w:color w:val="000000" w:themeColor="text1"/>
        </w:rPr>
        <w:t xml:space="preserve">este prijs-kwaliteitsverhouding de </w:t>
      </w:r>
      <w:r w:rsidR="006E1461">
        <w:rPr>
          <w:rFonts w:eastAsia="Lato" w:cs="Lato"/>
          <w:color w:val="000000" w:themeColor="text1"/>
        </w:rPr>
        <w:t>aanbesteder</w:t>
      </w:r>
      <w:r w:rsidRPr="558C568B">
        <w:rPr>
          <w:rFonts w:eastAsia="Lato" w:cs="Lato"/>
          <w:color w:val="000000" w:themeColor="text1"/>
        </w:rPr>
        <w:t xml:space="preserve"> om vooraf na te denken over de opdracht en relevante gunningscriteria op te stellen </w:t>
      </w:r>
      <w:r w:rsidRPr="558C568B">
        <w:rPr>
          <w:rFonts w:eastAsia="Lato" w:cs="Lato"/>
          <w:color w:val="000000" w:themeColor="text1"/>
        </w:rPr>
        <w:lastRenderedPageBreak/>
        <w:t xml:space="preserve">(plan van aanpak, hinder, kosten, service, duurzaamheid, prijs, sociale factoren, functionele kenmerken…). </w:t>
      </w:r>
    </w:p>
    <w:p w14:paraId="0D55CFAE" w14:textId="0FE50ED2" w:rsidR="00215C84" w:rsidRDefault="00716CAF" w:rsidP="00ED3A47">
      <w:pPr>
        <w:rPr>
          <w:rFonts w:eastAsia="Lato" w:cs="Lato"/>
          <w:color w:val="000000" w:themeColor="text1"/>
        </w:rPr>
      </w:pPr>
      <w:r w:rsidRPr="558C568B">
        <w:rPr>
          <w:rFonts w:eastAsia="Lato" w:cs="Lato"/>
          <w:color w:val="000000" w:themeColor="text1"/>
        </w:rPr>
        <w:t>Belangrijk is wel dat de aanbesteder criteria formuleert waarop de markt zich kan onderscheiden. Ook inschrijvers worden geprikkeld om vroegtijdig na te denken</w:t>
      </w:r>
      <w:r>
        <w:rPr>
          <w:rFonts w:eastAsia="Lato" w:cs="Lato"/>
          <w:color w:val="000000" w:themeColor="text1"/>
        </w:rPr>
        <w:t xml:space="preserve"> over</w:t>
      </w:r>
      <w:r w:rsidRPr="558C568B">
        <w:rPr>
          <w:rFonts w:eastAsia="Lato" w:cs="Lato"/>
          <w:color w:val="000000" w:themeColor="text1"/>
        </w:rPr>
        <w:t xml:space="preserve"> hoe zij tegemoet kunnen komen aan de geformuleerde wensen of eisen. </w:t>
      </w:r>
    </w:p>
    <w:p w14:paraId="5AC82947" w14:textId="77777777" w:rsidR="00437C23" w:rsidRPr="009069A3" w:rsidRDefault="00437C23">
      <w:pPr>
        <w:pStyle w:val="Kop2"/>
      </w:pPr>
      <w:bookmarkStart w:id="158" w:name="_Toc135839996"/>
      <w:bookmarkStart w:id="159" w:name="_Toc150870601"/>
      <w:r>
        <w:t>Richtlijnen en instructies</w:t>
      </w:r>
      <w:bookmarkEnd w:id="158"/>
      <w:bookmarkEnd w:id="159"/>
    </w:p>
    <w:tbl>
      <w:tblPr>
        <w:tblStyle w:val="Tabelraster"/>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E61CB0" w:rsidRPr="00E61CB0" w14:paraId="485CAD3D" w14:textId="77777777" w:rsidTr="00FE6699">
        <w:tc>
          <w:tcPr>
            <w:tcW w:w="5000" w:type="pct"/>
            <w:shd w:val="clear" w:color="auto" w:fill="FBE4D5" w:themeFill="accent2" w:themeFillTint="33"/>
          </w:tcPr>
          <w:p w14:paraId="68CE2444" w14:textId="77777777" w:rsidR="0092412F" w:rsidRDefault="00E61CB0">
            <w:pPr>
              <w:pStyle w:val="Lijstnummering"/>
              <w:numPr>
                <w:ilvl w:val="0"/>
                <w:numId w:val="35"/>
              </w:numPr>
              <w:tabs>
                <w:tab w:val="clear" w:pos="360"/>
                <w:tab w:val="num" w:pos="306"/>
              </w:tabs>
              <w:ind w:left="306" w:hanging="306"/>
              <w:rPr>
                <w:rFonts w:eastAsia="Lato"/>
              </w:rPr>
            </w:pPr>
            <w:r w:rsidRPr="00B06B1C">
              <w:rPr>
                <w:rFonts w:eastAsia="Lato"/>
              </w:rPr>
              <w:t xml:space="preserve">Maak maximaal gebruik, wanneer de aard van de opdracht het toelaat, van gunningscriteria op basis van de kosten, zoals de levenscycluskosten, of op basis van de beste prijs-kwaliteitsverhouding, in plaats van louter het criterium laagste prijs. </w:t>
            </w:r>
          </w:p>
          <w:p w14:paraId="7A0A22F6" w14:textId="77777777" w:rsidR="0092412F" w:rsidRDefault="0092412F" w:rsidP="0092412F">
            <w:pPr>
              <w:pStyle w:val="Bullet3"/>
              <w:rPr>
                <w:lang w:val="nl-BE"/>
              </w:rPr>
            </w:pPr>
            <w:r w:rsidRPr="0092412F">
              <w:rPr>
                <w:lang w:val="nl-BE"/>
              </w:rPr>
              <w:t>Ga ook na of het kostenelement (deels) de vorm kan aannemen van een vaste prijs of vaste kosten opdat de ondernemers concurreren op kwaliteitscriteria alleen.</w:t>
            </w:r>
          </w:p>
          <w:p w14:paraId="0F46538F" w14:textId="36CE2407" w:rsidR="00675BA8" w:rsidRDefault="00E61CB0" w:rsidP="0092412F">
            <w:pPr>
              <w:pStyle w:val="Bullet3"/>
              <w:rPr>
                <w:lang w:val="nl-BE"/>
              </w:rPr>
            </w:pPr>
            <w:r w:rsidRPr="0092412F">
              <w:rPr>
                <w:lang w:val="nl-BE"/>
              </w:rPr>
              <w:t>Tegelijk blijft voor een specifiek, beperkt deel van de overheidsopdrachten het criterium prijs het meest</w:t>
            </w:r>
            <w:r w:rsidR="0050721E">
              <w:rPr>
                <w:lang w:val="nl-BE"/>
              </w:rPr>
              <w:t>e</w:t>
            </w:r>
            <w:r w:rsidRPr="0092412F">
              <w:rPr>
                <w:lang w:val="nl-BE"/>
              </w:rPr>
              <w:t xml:space="preserve"> aangewezen.</w:t>
            </w:r>
          </w:p>
          <w:p w14:paraId="2E09C87A" w14:textId="59D92E8A" w:rsidR="00E61CB0" w:rsidRPr="0092412F" w:rsidRDefault="004302A7" w:rsidP="0092412F">
            <w:pPr>
              <w:pStyle w:val="Bullet3"/>
              <w:rPr>
                <w:lang w:val="nl-BE"/>
              </w:rPr>
            </w:pPr>
            <w:r>
              <w:rPr>
                <w:lang w:val="nl-BE"/>
              </w:rPr>
              <w:t>Bij gebruik van</w:t>
            </w:r>
            <w:r w:rsidR="00665DCD">
              <w:rPr>
                <w:lang w:val="nl-BE"/>
              </w:rPr>
              <w:t xml:space="preserve"> kwalitatieve aspecten</w:t>
            </w:r>
            <w:r w:rsidR="00184811">
              <w:rPr>
                <w:lang w:val="nl-BE"/>
              </w:rPr>
              <w:t xml:space="preserve"> bij de gunningscriteria</w:t>
            </w:r>
            <w:r>
              <w:rPr>
                <w:lang w:val="nl-BE"/>
              </w:rPr>
              <w:t xml:space="preserve"> dient het</w:t>
            </w:r>
            <w:r w:rsidR="002F4E2D">
              <w:rPr>
                <w:lang w:val="nl-BE"/>
              </w:rPr>
              <w:t xml:space="preserve"> daaraan</w:t>
            </w:r>
            <w:r>
              <w:rPr>
                <w:lang w:val="nl-BE"/>
              </w:rPr>
              <w:t xml:space="preserve"> toegekende gewicht</w:t>
            </w:r>
            <w:r w:rsidR="00AB0DDC">
              <w:rPr>
                <w:lang w:val="nl-BE"/>
              </w:rPr>
              <w:t xml:space="preserve"> voldoende hoog te zijn </w:t>
            </w:r>
            <w:r w:rsidR="00665DCD">
              <w:rPr>
                <w:lang w:val="nl-BE"/>
              </w:rPr>
              <w:t>ten opz</w:t>
            </w:r>
            <w:r>
              <w:rPr>
                <w:lang w:val="nl-BE"/>
              </w:rPr>
              <w:t>i</w:t>
            </w:r>
            <w:r w:rsidR="00665DCD">
              <w:rPr>
                <w:lang w:val="nl-BE"/>
              </w:rPr>
              <w:t>chte van het gewicht van het prijscriterium</w:t>
            </w:r>
            <w:r w:rsidR="006D585B">
              <w:rPr>
                <w:lang w:val="nl-BE"/>
              </w:rPr>
              <w:t>,</w:t>
            </w:r>
            <w:r w:rsidR="00665DCD">
              <w:rPr>
                <w:lang w:val="nl-BE"/>
              </w:rPr>
              <w:t xml:space="preserve"> om </w:t>
            </w:r>
            <w:r>
              <w:rPr>
                <w:lang w:val="nl-BE"/>
              </w:rPr>
              <w:t xml:space="preserve">het verschil te kunnen maken. </w:t>
            </w:r>
            <w:r w:rsidR="00E61CB0" w:rsidRPr="0092412F">
              <w:rPr>
                <w:lang w:val="nl-BE"/>
              </w:rPr>
              <w:t xml:space="preserve"> </w:t>
            </w:r>
          </w:p>
        </w:tc>
      </w:tr>
      <w:tr w:rsidR="00E61CB0" w:rsidRPr="00E61CB0" w14:paraId="035AE246" w14:textId="77777777" w:rsidTr="00FE6699">
        <w:tc>
          <w:tcPr>
            <w:tcW w:w="5000" w:type="pct"/>
            <w:shd w:val="clear" w:color="auto" w:fill="FBE4D5" w:themeFill="accent2" w:themeFillTint="33"/>
          </w:tcPr>
          <w:p w14:paraId="266ECA7D" w14:textId="77777777" w:rsidR="00E61CB0" w:rsidRPr="00E61CB0" w:rsidRDefault="00E61CB0">
            <w:pPr>
              <w:pStyle w:val="Lijstnummering"/>
              <w:rPr>
                <w:rFonts w:eastAsia="Lato"/>
              </w:rPr>
            </w:pPr>
            <w:r w:rsidRPr="00E61CB0">
              <w:rPr>
                <w:rFonts w:eastAsia="Lato"/>
              </w:rPr>
              <w:t>Zorg ervoor dat de gunningscriteria verband houden met het voorwerp van de opdracht en de technische beschrijving, en zodanig duidelijk in de opdrachtdocumenten worden gespecificeerd dat:</w:t>
            </w:r>
          </w:p>
        </w:tc>
      </w:tr>
      <w:tr w:rsidR="00E61CB0" w:rsidRPr="00E61CB0" w14:paraId="3C871CBD" w14:textId="77777777" w:rsidTr="00FE6699">
        <w:tc>
          <w:tcPr>
            <w:tcW w:w="5000" w:type="pct"/>
            <w:shd w:val="clear" w:color="auto" w:fill="FBE4D5" w:themeFill="accent2" w:themeFillTint="33"/>
          </w:tcPr>
          <w:p w14:paraId="50A74822" w14:textId="1F1A89D2" w:rsidR="00E61CB0" w:rsidRPr="003F713E" w:rsidRDefault="00E61CB0" w:rsidP="00B06B1C">
            <w:pPr>
              <w:pStyle w:val="Bullet3"/>
              <w:rPr>
                <w:lang w:val="nl-BE"/>
              </w:rPr>
            </w:pPr>
            <w:r w:rsidRPr="003F713E">
              <w:rPr>
                <w:lang w:val="nl-BE"/>
              </w:rPr>
              <w:t>iedere inschrijver kan kennisnemen van de inhoud en bedoelingen van de criteria, en de draagwijdte ervan bij de beoordeling van de offertes</w:t>
            </w:r>
            <w:r w:rsidR="00200FF6">
              <w:rPr>
                <w:lang w:val="nl-BE"/>
              </w:rPr>
              <w:t>. Gebruik dus geen ruime concepten zoals “duurzaamheid”, maar maak deze concreet</w:t>
            </w:r>
            <w:r w:rsidRPr="003F713E">
              <w:rPr>
                <w:lang w:val="nl-BE"/>
              </w:rPr>
              <w:t>;</w:t>
            </w:r>
          </w:p>
        </w:tc>
      </w:tr>
      <w:tr w:rsidR="00E61CB0" w:rsidRPr="00E61CB0" w14:paraId="3F275AA1" w14:textId="77777777" w:rsidTr="00FE6699">
        <w:tc>
          <w:tcPr>
            <w:tcW w:w="5000" w:type="pct"/>
            <w:shd w:val="clear" w:color="auto" w:fill="FBE4D5" w:themeFill="accent2" w:themeFillTint="33"/>
          </w:tcPr>
          <w:p w14:paraId="26665714" w14:textId="77777777" w:rsidR="00E61CB0" w:rsidRPr="003F713E" w:rsidRDefault="00E61CB0" w:rsidP="00B06B1C">
            <w:pPr>
              <w:pStyle w:val="Bullet3"/>
              <w:rPr>
                <w:lang w:val="nl-BE"/>
              </w:rPr>
            </w:pPr>
            <w:r w:rsidRPr="003F713E">
              <w:rPr>
                <w:lang w:val="nl-BE"/>
              </w:rPr>
              <w:t>de offertes daadwerkelijk kunnen worden getoetst en objectief beoordeeld.</w:t>
            </w:r>
          </w:p>
        </w:tc>
      </w:tr>
      <w:tr w:rsidR="00E61CB0" w:rsidRPr="00E61CB0" w14:paraId="3E27023F" w14:textId="77777777" w:rsidTr="00FE6699">
        <w:tc>
          <w:tcPr>
            <w:tcW w:w="5000" w:type="pct"/>
            <w:shd w:val="clear" w:color="auto" w:fill="FBE4D5" w:themeFill="accent2" w:themeFillTint="33"/>
          </w:tcPr>
          <w:p w14:paraId="63CCAD73" w14:textId="77777777" w:rsidR="00E61CB0" w:rsidRPr="00E61CB0" w:rsidRDefault="00E61CB0">
            <w:pPr>
              <w:pStyle w:val="Lijstnummering"/>
              <w:rPr>
                <w:rFonts w:eastAsia="Lato"/>
              </w:rPr>
            </w:pPr>
            <w:r w:rsidRPr="00364643">
              <w:rPr>
                <w:rFonts w:eastAsia="Lato"/>
                <w:b/>
                <w:bCs/>
              </w:rPr>
              <w:t>Zorg ervoor dat de gunningscriteria een daadwerkelijke mededinging garanderen</w:t>
            </w:r>
            <w:r w:rsidRPr="00E61CB0">
              <w:rPr>
                <w:rFonts w:eastAsia="Lato"/>
              </w:rPr>
              <w:t xml:space="preserve"> en er niet toe leiden dat de aanbestedende overheid een onbeperkte keuzevrijheid heeft.</w:t>
            </w:r>
          </w:p>
        </w:tc>
      </w:tr>
      <w:tr w:rsidR="00E61CB0" w:rsidRPr="00E61CB0" w14:paraId="5A82EC48" w14:textId="77777777" w:rsidTr="00FE6699">
        <w:tc>
          <w:tcPr>
            <w:tcW w:w="5000" w:type="pct"/>
            <w:shd w:val="clear" w:color="auto" w:fill="FBE4D5" w:themeFill="accent2" w:themeFillTint="33"/>
          </w:tcPr>
          <w:p w14:paraId="798E132F" w14:textId="77777777" w:rsidR="00E61CB0" w:rsidRPr="00E61CB0" w:rsidRDefault="00E61CB0">
            <w:pPr>
              <w:pStyle w:val="Lijstnummering"/>
              <w:rPr>
                <w:rFonts w:eastAsia="Lato"/>
              </w:rPr>
            </w:pPr>
            <w:r w:rsidRPr="00E61CB0">
              <w:rPr>
                <w:rFonts w:eastAsia="Lato"/>
              </w:rPr>
              <w:t>Bepaal het relatieve gewicht van de gunningscriteria in de opdrachtdocumenten en/of de aankondiging, wanneer mogelijk ook voor opdrachten onder de Europese drempel.</w:t>
            </w:r>
          </w:p>
        </w:tc>
      </w:tr>
      <w:tr w:rsidR="00E61CB0" w:rsidRPr="00E61CB0" w14:paraId="437DFA3D" w14:textId="77777777" w:rsidTr="00FE6699">
        <w:tc>
          <w:tcPr>
            <w:tcW w:w="5000" w:type="pct"/>
            <w:shd w:val="clear" w:color="auto" w:fill="FBE4D5" w:themeFill="accent2" w:themeFillTint="33"/>
          </w:tcPr>
          <w:p w14:paraId="6BAF69E2" w14:textId="1FB4AD9B" w:rsidR="00E61CB0" w:rsidRPr="00E61CB0" w:rsidRDefault="00E61CB0">
            <w:pPr>
              <w:pStyle w:val="Lijstnummering"/>
              <w:rPr>
                <w:rFonts w:eastAsia="Lato"/>
              </w:rPr>
            </w:pPr>
            <w:r w:rsidRPr="00E61CB0">
              <w:rPr>
                <w:rFonts w:eastAsia="Lato"/>
              </w:rPr>
              <w:t>Houd telkens de aspecten “proportionaliteit”</w:t>
            </w:r>
            <w:r w:rsidR="001A6418">
              <w:rPr>
                <w:rFonts w:eastAsia="Lato"/>
              </w:rPr>
              <w:t>, in de zin van het waarborgen van de mogelijkheid tot daadwerkelijke mededinging,</w:t>
            </w:r>
            <w:r w:rsidRPr="00E61CB0">
              <w:rPr>
                <w:rFonts w:eastAsia="Lato"/>
              </w:rPr>
              <w:t xml:space="preserve"> en “toegang van kmo’s” in het achterhoofd bij het bepalen van de gunningscriteria en mogelijke bijhorende clausules</w:t>
            </w:r>
            <w:r w:rsidR="001A6418">
              <w:rPr>
                <w:rFonts w:eastAsia="Lato"/>
              </w:rPr>
              <w:t xml:space="preserve"> – </w:t>
            </w:r>
            <w:r w:rsidR="001A6418" w:rsidRPr="001A6418">
              <w:rPr>
                <w:rFonts w:eastAsia="Lato"/>
              </w:rPr>
              <w:t>weliswaar in overeenstemming met de op dat moment geldende instructies inzake aankoopbeleid</w:t>
            </w:r>
            <w:r w:rsidRPr="00E61CB0">
              <w:rPr>
                <w:rFonts w:eastAsia="Lato"/>
              </w:rPr>
              <w:t>.</w:t>
            </w:r>
            <w:r w:rsidR="00B27585">
              <w:rPr>
                <w:rFonts w:eastAsia="Lato"/>
              </w:rPr>
              <w:t xml:space="preserve"> </w:t>
            </w:r>
            <w:r w:rsidR="00B27585" w:rsidRPr="00364643">
              <w:rPr>
                <w:rFonts w:eastAsia="Lato" w:cs="Lato"/>
                <w:b/>
                <w:bCs/>
                <w:color w:val="000000" w:themeColor="text1"/>
              </w:rPr>
              <w:t>Beperk de gevraagde output van inschrijvers tijdens het opstellen van een offerte</w:t>
            </w:r>
            <w:r w:rsidR="00CE5161" w:rsidRPr="00364643">
              <w:rPr>
                <w:rFonts w:eastAsia="Lato" w:cs="Lato"/>
                <w:b/>
                <w:bCs/>
                <w:color w:val="000000" w:themeColor="text1"/>
              </w:rPr>
              <w:t>:</w:t>
            </w:r>
            <w:r w:rsidR="00B27585" w:rsidRPr="00364643">
              <w:rPr>
                <w:rFonts w:eastAsia="Lato" w:cs="Lato"/>
                <w:b/>
                <w:bCs/>
                <w:color w:val="000000" w:themeColor="text1"/>
              </w:rPr>
              <w:t xml:space="preserve"> ga telkens </w:t>
            </w:r>
            <w:r w:rsidR="00DC0D8A" w:rsidRPr="00364643">
              <w:rPr>
                <w:rFonts w:eastAsia="Lato" w:cs="Lato"/>
                <w:b/>
                <w:bCs/>
                <w:color w:val="000000" w:themeColor="text1"/>
              </w:rPr>
              <w:t xml:space="preserve">na </w:t>
            </w:r>
            <w:r w:rsidR="00B27585" w:rsidRPr="00364643">
              <w:rPr>
                <w:rFonts w:eastAsia="Lato" w:cs="Lato"/>
                <w:b/>
                <w:bCs/>
                <w:color w:val="000000" w:themeColor="text1"/>
              </w:rPr>
              <w:t>wat er echt noodzakelijk is om</w:t>
            </w:r>
            <w:r w:rsidR="00221C9A" w:rsidRPr="00364643">
              <w:rPr>
                <w:rFonts w:eastAsia="Lato" w:cs="Lato"/>
                <w:b/>
                <w:bCs/>
                <w:color w:val="000000" w:themeColor="text1"/>
              </w:rPr>
              <w:t xml:space="preserve"> de offerte van</w:t>
            </w:r>
            <w:r w:rsidR="00B27585" w:rsidRPr="00364643">
              <w:rPr>
                <w:rFonts w:eastAsia="Lato" w:cs="Lato"/>
                <w:b/>
                <w:bCs/>
                <w:color w:val="000000" w:themeColor="text1"/>
              </w:rPr>
              <w:t xml:space="preserve"> de inschrijver te kunnen beoordelen en welk niveau van detail volstaat</w:t>
            </w:r>
            <w:r w:rsidR="00B27585" w:rsidRPr="00B32702">
              <w:rPr>
                <w:rFonts w:eastAsia="Lato" w:cs="Lato"/>
                <w:b/>
                <w:bCs/>
                <w:color w:val="000000" w:themeColor="text1"/>
              </w:rPr>
              <w:t>.</w:t>
            </w:r>
            <w:r w:rsidR="00B27585">
              <w:rPr>
                <w:rFonts w:eastAsia="Lato" w:cs="Lato"/>
                <w:color w:val="000000" w:themeColor="text1"/>
              </w:rPr>
              <w:t xml:space="preserve"> </w:t>
            </w:r>
            <w:r w:rsidR="00C37DAA">
              <w:rPr>
                <w:rFonts w:eastAsia="Lato" w:cs="Lato"/>
                <w:color w:val="000000" w:themeColor="text1"/>
              </w:rPr>
              <w:t xml:space="preserve">Beoordeel en controleer het gevraagde niet enkel tijdens de fase van de gunning, maar eveneens tijdens de uitvoering van de opdracht. </w:t>
            </w:r>
          </w:p>
        </w:tc>
      </w:tr>
      <w:tr w:rsidR="00E61CB0" w:rsidRPr="00E61CB0" w14:paraId="3A256E16" w14:textId="77777777" w:rsidTr="00FE6699">
        <w:tc>
          <w:tcPr>
            <w:tcW w:w="5000" w:type="pct"/>
            <w:shd w:val="clear" w:color="auto" w:fill="FBE4D5" w:themeFill="accent2" w:themeFillTint="33"/>
          </w:tcPr>
          <w:p w14:paraId="52F5C8CE" w14:textId="77777777" w:rsidR="00E61CB0" w:rsidRPr="00E61CB0" w:rsidRDefault="00E61CB0">
            <w:pPr>
              <w:pStyle w:val="Lijstnummering"/>
              <w:rPr>
                <w:rFonts w:eastAsia="Lato"/>
              </w:rPr>
            </w:pPr>
            <w:r w:rsidRPr="00364643">
              <w:rPr>
                <w:rFonts w:eastAsia="Lato"/>
                <w:b/>
                <w:bCs/>
              </w:rPr>
              <w:t>Respecteer, stimuleer en promoot de mogelijkheid voor ondernemingen om met een zogenaamd “gelijkwaardig alternatief”</w:t>
            </w:r>
            <w:r w:rsidRPr="00E61CB0">
              <w:rPr>
                <w:rFonts w:eastAsia="Lato"/>
              </w:rPr>
              <w:t xml:space="preserve"> te komen wanneer bepaalde certificaten, testverslagen, keurmerken of kwaliteitsnormen en normen inzake milieubeheer vereist worden.</w:t>
            </w:r>
          </w:p>
        </w:tc>
      </w:tr>
      <w:tr w:rsidR="00E61CB0" w:rsidRPr="00E61CB0" w14:paraId="32DC3823" w14:textId="77777777" w:rsidTr="00FE6699">
        <w:tc>
          <w:tcPr>
            <w:tcW w:w="5000" w:type="pct"/>
            <w:shd w:val="clear" w:color="auto" w:fill="FBE4D5" w:themeFill="accent2" w:themeFillTint="33"/>
          </w:tcPr>
          <w:p w14:paraId="48FD275F" w14:textId="722A9420" w:rsidR="00E61CB0" w:rsidRPr="00E61CB0" w:rsidRDefault="00E61CB0">
            <w:pPr>
              <w:pStyle w:val="Lijstnummering"/>
              <w:rPr>
                <w:rFonts w:eastAsia="Lato"/>
              </w:rPr>
            </w:pPr>
            <w:r w:rsidRPr="00E61CB0">
              <w:rPr>
                <w:rFonts w:eastAsia="Lato"/>
              </w:rPr>
              <w:t xml:space="preserve">Gun niet, tenzij in </w:t>
            </w:r>
            <w:r w:rsidR="000F7F29">
              <w:rPr>
                <w:rFonts w:eastAsia="Lato"/>
              </w:rPr>
              <w:t>specifieke, uitzonderlijke</w:t>
            </w:r>
            <w:r w:rsidR="000F7F29" w:rsidRPr="00E61CB0">
              <w:rPr>
                <w:rFonts w:eastAsia="Lato"/>
              </w:rPr>
              <w:t xml:space="preserve"> </w:t>
            </w:r>
            <w:r w:rsidRPr="00E61CB0">
              <w:rPr>
                <w:rFonts w:eastAsia="Lato"/>
              </w:rPr>
              <w:t>gevallen, op basis van:</w:t>
            </w:r>
          </w:p>
        </w:tc>
      </w:tr>
      <w:tr w:rsidR="00E61CB0" w:rsidRPr="00E61CB0" w14:paraId="69546DFC" w14:textId="77777777" w:rsidTr="00FE6699">
        <w:tc>
          <w:tcPr>
            <w:tcW w:w="5000" w:type="pct"/>
            <w:shd w:val="clear" w:color="auto" w:fill="FBE4D5" w:themeFill="accent2" w:themeFillTint="33"/>
          </w:tcPr>
          <w:p w14:paraId="45625B46" w14:textId="5EAE9562" w:rsidR="00E61CB0" w:rsidRPr="00743296" w:rsidRDefault="00E61CB0" w:rsidP="00FD5C8B">
            <w:pPr>
              <w:pStyle w:val="Bullet3"/>
              <w:rPr>
                <w:lang w:val="nl-BE"/>
              </w:rPr>
            </w:pPr>
            <w:r w:rsidRPr="00743296">
              <w:rPr>
                <w:lang w:val="nl-BE"/>
              </w:rPr>
              <w:t>enkel en alleen uurtarieven;</w:t>
            </w:r>
          </w:p>
        </w:tc>
      </w:tr>
      <w:tr w:rsidR="00E61CB0" w:rsidRPr="00E61CB0" w14:paraId="5D6964C9" w14:textId="77777777" w:rsidTr="00FE6699">
        <w:tc>
          <w:tcPr>
            <w:tcW w:w="5000" w:type="pct"/>
            <w:shd w:val="clear" w:color="auto" w:fill="FBE4D5" w:themeFill="accent2" w:themeFillTint="33"/>
          </w:tcPr>
          <w:p w14:paraId="670C496A" w14:textId="77777777" w:rsidR="00E61CB0" w:rsidRPr="003F713E" w:rsidRDefault="00E61CB0" w:rsidP="00FD5C8B">
            <w:pPr>
              <w:pStyle w:val="Bullet3"/>
              <w:rPr>
                <w:lang w:val="nl-BE"/>
              </w:rPr>
            </w:pPr>
            <w:r w:rsidRPr="003F713E">
              <w:rPr>
                <w:lang w:val="nl-BE"/>
              </w:rPr>
              <w:t>enkel en alleen prijs bij opdrachten die bestaan uit intellectuele prestaties;</w:t>
            </w:r>
          </w:p>
        </w:tc>
      </w:tr>
      <w:tr w:rsidR="00E61CB0" w:rsidRPr="00E61CB0" w14:paraId="2138370A" w14:textId="77777777" w:rsidTr="00FE6699">
        <w:tc>
          <w:tcPr>
            <w:tcW w:w="5000" w:type="pct"/>
            <w:shd w:val="clear" w:color="auto" w:fill="FBE4D5" w:themeFill="accent2" w:themeFillTint="33"/>
          </w:tcPr>
          <w:p w14:paraId="2F4C67D6" w14:textId="646F5169" w:rsidR="00E61CB0" w:rsidRPr="003F713E" w:rsidRDefault="00E71A60" w:rsidP="00FD5C8B">
            <w:pPr>
              <w:pStyle w:val="Bullet3"/>
              <w:rPr>
                <w:lang w:val="nl-BE"/>
              </w:rPr>
            </w:pPr>
            <w:r>
              <w:rPr>
                <w:lang w:val="nl-BE"/>
              </w:rPr>
              <w:t>voornamelijk</w:t>
            </w:r>
            <w:r w:rsidR="00E61CB0" w:rsidRPr="003F713E">
              <w:rPr>
                <w:lang w:val="nl-BE"/>
              </w:rPr>
              <w:t xml:space="preserve"> prijs wanneer tegelijk in de selectie- of gunningscriteria bepaalde investeringen worden vereist van de onderneming zoals het behalen van een duur certificaat of keurmerk.</w:t>
            </w:r>
          </w:p>
        </w:tc>
      </w:tr>
      <w:tr w:rsidR="00E61CB0" w:rsidRPr="00B30205" w14:paraId="2B5B64E5" w14:textId="77777777" w:rsidTr="00FE6699">
        <w:tc>
          <w:tcPr>
            <w:tcW w:w="5000" w:type="pct"/>
            <w:shd w:val="clear" w:color="auto" w:fill="FBE4D5" w:themeFill="accent2" w:themeFillTint="33"/>
          </w:tcPr>
          <w:p w14:paraId="04A43A40" w14:textId="13677846" w:rsidR="00E61CB0" w:rsidRPr="00B30205" w:rsidRDefault="00E61CB0" w:rsidP="00E91E3F">
            <w:pPr>
              <w:pStyle w:val="Indent1"/>
            </w:pPr>
            <w:r w:rsidRPr="00E61CB0">
              <w:t>Bovenvermelde praktijken worden in het algemeen als bad practices beschouwd.</w:t>
            </w:r>
          </w:p>
        </w:tc>
      </w:tr>
    </w:tbl>
    <w:p w14:paraId="699CCE5C" w14:textId="0198C297" w:rsidR="005D4EB7" w:rsidRDefault="005D4EB7">
      <w:pPr>
        <w:pStyle w:val="Kop1"/>
      </w:pPr>
      <w:bookmarkStart w:id="160" w:name="_Toc132703178"/>
      <w:bookmarkStart w:id="161" w:name="_Toc135839997"/>
      <w:bookmarkStart w:id="162" w:name="_Toc150870602"/>
      <w:r>
        <w:lastRenderedPageBreak/>
        <w:t xml:space="preserve">Principe 10 – </w:t>
      </w:r>
      <w:bookmarkEnd w:id="160"/>
      <w:r w:rsidR="002A5B54" w:rsidRPr="002A5B54">
        <w:t>Gepaste en effectieve mededinging verzekeren bij onderhandelingsprocedures die niet onderworpen zijn aan enige bekendmakingsvorm</w:t>
      </w:r>
      <w:bookmarkEnd w:id="161"/>
      <w:bookmarkEnd w:id="162"/>
    </w:p>
    <w:p w14:paraId="5DFE2BB7" w14:textId="4B111822" w:rsidR="00437C23" w:rsidRDefault="00196987">
      <w:pPr>
        <w:pStyle w:val="Kop2"/>
      </w:pPr>
      <w:r>
        <w:t xml:space="preserve"> </w:t>
      </w:r>
      <w:bookmarkStart w:id="163" w:name="_Toc135839998"/>
      <w:bookmarkStart w:id="164" w:name="_Toc150870603"/>
      <w:r w:rsidR="00437C23">
        <w:t>Doelstelling</w:t>
      </w:r>
      <w:bookmarkEnd w:id="163"/>
      <w:bookmarkEnd w:id="164"/>
    </w:p>
    <w:p w14:paraId="24D93CEE" w14:textId="1601F503" w:rsidR="003F01BC" w:rsidRPr="003F01BC" w:rsidRDefault="003F01BC" w:rsidP="00437C23">
      <w:pPr>
        <w:rPr>
          <w:rFonts w:eastAsia="Lato" w:cs="Lato"/>
          <w:color w:val="000000" w:themeColor="text1"/>
        </w:rPr>
      </w:pPr>
      <w:r w:rsidRPr="036E4F87">
        <w:rPr>
          <w:rFonts w:eastAsia="Lato" w:cs="Lato"/>
          <w:color w:val="000000" w:themeColor="text1"/>
        </w:rPr>
        <w:t>Ervoor zorgen dat bij de onderhandelingsprocedures die niet onderworpen zijn aan enige bekendmakingsvorm er toch een effectieve mededinging plaatsvindt</w:t>
      </w:r>
      <w:r>
        <w:rPr>
          <w:rFonts w:eastAsia="Lato" w:cs="Lato"/>
          <w:color w:val="000000" w:themeColor="text1"/>
        </w:rPr>
        <w:t xml:space="preserve">. Op die manier worden </w:t>
      </w:r>
      <w:r w:rsidRPr="036E4F87">
        <w:rPr>
          <w:rFonts w:eastAsia="Lato" w:cs="Lato"/>
          <w:color w:val="000000" w:themeColor="text1"/>
        </w:rPr>
        <w:t xml:space="preserve">de kansen voor de ondernemers om te kunnen inschrijven voor een opdracht vergroot, weliswaar </w:t>
      </w:r>
      <w:r>
        <w:rPr>
          <w:rFonts w:eastAsia="Lato" w:cs="Lato"/>
          <w:color w:val="000000" w:themeColor="text1"/>
        </w:rPr>
        <w:t>op zo’n manier dat</w:t>
      </w:r>
      <w:r w:rsidRPr="036E4F87">
        <w:rPr>
          <w:rFonts w:eastAsia="Lato" w:cs="Lato"/>
          <w:color w:val="000000" w:themeColor="text1"/>
        </w:rPr>
        <w:t xml:space="preserve"> de gevraagde inspanningen en slaagkansen voor de ondernemers om de opdracht toegewezen te kunnen krijgen in verhouding staan tot de omvang van</w:t>
      </w:r>
      <w:r>
        <w:rPr>
          <w:rFonts w:eastAsia="Lato" w:cs="Lato"/>
          <w:color w:val="000000" w:themeColor="text1"/>
        </w:rPr>
        <w:t xml:space="preserve"> die opdracht</w:t>
      </w:r>
      <w:r w:rsidRPr="036E4F87">
        <w:rPr>
          <w:rFonts w:eastAsia="Lato" w:cs="Lato"/>
          <w:color w:val="000000" w:themeColor="text1"/>
        </w:rPr>
        <w:t>.</w:t>
      </w:r>
    </w:p>
    <w:p w14:paraId="7E8F1CDE" w14:textId="69D7B55A" w:rsidR="00437C23" w:rsidRDefault="00196987">
      <w:pPr>
        <w:pStyle w:val="Kop2"/>
      </w:pPr>
      <w:r>
        <w:t xml:space="preserve"> </w:t>
      </w:r>
      <w:bookmarkStart w:id="165" w:name="_Toc135839999"/>
      <w:bookmarkStart w:id="166" w:name="_Toc150870604"/>
      <w:r w:rsidR="00437C23">
        <w:t>Wat zegt de reglementering overheidsopdrachten?</w:t>
      </w:r>
      <w:bookmarkEnd w:id="165"/>
      <w:bookmarkEnd w:id="166"/>
    </w:p>
    <w:p w14:paraId="7B98C09F" w14:textId="73C6E26C" w:rsidR="00CD3EDA" w:rsidRPr="00CD3EDA" w:rsidRDefault="00CD3EDA">
      <w:pPr>
        <w:pStyle w:val="Kop3"/>
        <w:ind w:left="993" w:hanging="993"/>
        <w:rPr>
          <w:rFonts w:eastAsia="Lato"/>
        </w:rPr>
      </w:pPr>
      <w:bookmarkStart w:id="167" w:name="_Toc135840000"/>
      <w:bookmarkStart w:id="168" w:name="_Toc150870605"/>
      <w:r w:rsidRPr="00CD3EDA">
        <w:rPr>
          <w:rFonts w:eastAsia="Lato"/>
        </w:rPr>
        <w:t>Onderhandelingsprocedures zonder voorafgaande bekendmaking of oproep tot mededinging</w:t>
      </w:r>
      <w:bookmarkEnd w:id="167"/>
      <w:bookmarkEnd w:id="168"/>
    </w:p>
    <w:p w14:paraId="2E22898D" w14:textId="00EB4FCA" w:rsidR="00CD3EDA" w:rsidRPr="00A17CF0" w:rsidRDefault="00CD3EDA" w:rsidP="00CD3EDA">
      <w:pPr>
        <w:rPr>
          <w:rFonts w:eastAsia="Lato" w:cs="Lato"/>
          <w:color w:val="000000" w:themeColor="text1"/>
        </w:rPr>
      </w:pPr>
      <w:r w:rsidRPr="23752E6A">
        <w:rPr>
          <w:rFonts w:eastAsia="Lato" w:cs="Lato"/>
          <w:color w:val="000000" w:themeColor="text1"/>
        </w:rPr>
        <w:t xml:space="preserve">De regelgeving overheidsopdrachten bepaalt dat de </w:t>
      </w:r>
      <w:r>
        <w:rPr>
          <w:rFonts w:eastAsia="Lato" w:cs="Lato"/>
          <w:color w:val="000000" w:themeColor="text1"/>
        </w:rPr>
        <w:t>aanbesteder</w:t>
      </w:r>
      <w:r w:rsidRPr="23752E6A">
        <w:rPr>
          <w:rFonts w:eastAsia="Lato" w:cs="Lato"/>
          <w:color w:val="000000" w:themeColor="text1"/>
        </w:rPr>
        <w:t xml:space="preserve"> </w:t>
      </w:r>
      <w:r w:rsidR="000B4940">
        <w:rPr>
          <w:rFonts w:eastAsia="Lato" w:cs="Lato"/>
          <w:color w:val="000000" w:themeColor="text1"/>
        </w:rPr>
        <w:t>–</w:t>
      </w:r>
      <w:r w:rsidRPr="23752E6A">
        <w:rPr>
          <w:rFonts w:eastAsia="Lato" w:cs="Lato"/>
          <w:color w:val="000000" w:themeColor="text1"/>
        </w:rPr>
        <w:t xml:space="preserve"> bij onderhandelingsprocedures zonder voorafgaande bekendmaking</w:t>
      </w:r>
      <w:r w:rsidR="000B4940">
        <w:rPr>
          <w:rFonts w:eastAsia="Lato" w:cs="Lato"/>
          <w:color w:val="000000" w:themeColor="text1"/>
        </w:rPr>
        <w:t xml:space="preserve"> (OPZB)</w:t>
      </w:r>
      <w:r w:rsidRPr="23752E6A">
        <w:rPr>
          <w:rFonts w:eastAsia="Lato" w:cs="Lato"/>
          <w:color w:val="000000" w:themeColor="text1"/>
        </w:rPr>
        <w:t xml:space="preserve"> of oproep tot mededinging</w:t>
      </w:r>
      <w:r w:rsidR="007F6EFB">
        <w:rPr>
          <w:rFonts w:eastAsia="Lato" w:cs="Lato"/>
          <w:color w:val="000000" w:themeColor="text1"/>
        </w:rPr>
        <w:t xml:space="preserve"> (OP</w:t>
      </w:r>
      <w:r w:rsidR="00962F6C">
        <w:rPr>
          <w:rFonts w:eastAsia="Lato" w:cs="Lato"/>
          <w:color w:val="000000" w:themeColor="text1"/>
        </w:rPr>
        <w:t>Z</w:t>
      </w:r>
      <w:r w:rsidR="00FA7273">
        <w:rPr>
          <w:rFonts w:eastAsia="Lato" w:cs="Lato"/>
          <w:color w:val="000000" w:themeColor="text1"/>
        </w:rPr>
        <w:t>V</w:t>
      </w:r>
      <w:r w:rsidR="00962F6C">
        <w:rPr>
          <w:rFonts w:eastAsia="Lato" w:cs="Lato"/>
          <w:color w:val="000000" w:themeColor="text1"/>
        </w:rPr>
        <w:t>OM)</w:t>
      </w:r>
      <w:r w:rsidRPr="23752E6A">
        <w:rPr>
          <w:rFonts w:eastAsia="Lato" w:cs="Lato"/>
          <w:color w:val="000000" w:themeColor="text1"/>
        </w:rPr>
        <w:t xml:space="preserve"> – aan de door haar gekozen ondernemers een offerte vraagt en met een of meer van hen over de voorwaarden van de opdracht kan onderhandelen. Op d</w:t>
      </w:r>
      <w:r>
        <w:rPr>
          <w:rFonts w:eastAsia="Lato" w:cs="Lato"/>
          <w:color w:val="000000" w:themeColor="text1"/>
        </w:rPr>
        <w:t>i</w:t>
      </w:r>
      <w:r w:rsidRPr="23752E6A">
        <w:rPr>
          <w:rFonts w:eastAsia="Lato" w:cs="Lato"/>
          <w:color w:val="000000" w:themeColor="text1"/>
        </w:rPr>
        <w:t xml:space="preserve">e manier kunnen kleinere opdrachten op een meer soepele manier geplaatst worden, wat ook de participatie van kmo’s </w:t>
      </w:r>
      <w:r>
        <w:rPr>
          <w:rFonts w:eastAsia="Lato" w:cs="Lato"/>
          <w:color w:val="000000" w:themeColor="text1"/>
        </w:rPr>
        <w:t>ten goede kan komen</w:t>
      </w:r>
      <w:r w:rsidRPr="23752E6A">
        <w:rPr>
          <w:rFonts w:eastAsia="Lato" w:cs="Lato"/>
          <w:color w:val="000000" w:themeColor="text1"/>
        </w:rPr>
        <w:t>.</w:t>
      </w:r>
      <w:r>
        <w:rPr>
          <w:rFonts w:eastAsia="Lato" w:cs="Lato"/>
          <w:color w:val="000000" w:themeColor="text1"/>
        </w:rPr>
        <w:t xml:space="preserve"> </w:t>
      </w:r>
    </w:p>
    <w:p w14:paraId="7E03AE60" w14:textId="1B0C46BF" w:rsidR="00CD3EDA" w:rsidRDefault="00CD3EDA" w:rsidP="00CD3EDA">
      <w:pPr>
        <w:rPr>
          <w:rFonts w:eastAsia="Lato" w:cs="Lato"/>
          <w:color w:val="000000" w:themeColor="text1"/>
        </w:rPr>
      </w:pPr>
      <w:r w:rsidRPr="3B76F727">
        <w:rPr>
          <w:rFonts w:eastAsia="Lato" w:cs="Lato"/>
          <w:color w:val="000000" w:themeColor="text1"/>
        </w:rPr>
        <w:t xml:space="preserve">De gevallen en omstandigheden waarbij </w:t>
      </w:r>
      <w:r w:rsidR="0057261C">
        <w:rPr>
          <w:rFonts w:eastAsia="Lato" w:cs="Lato"/>
          <w:color w:val="000000" w:themeColor="text1"/>
        </w:rPr>
        <w:t xml:space="preserve">de </w:t>
      </w:r>
      <w:r w:rsidR="007C2732">
        <w:rPr>
          <w:rFonts w:eastAsia="Lato" w:cs="Lato"/>
          <w:color w:val="000000" w:themeColor="text1"/>
        </w:rPr>
        <w:t>OPZB</w:t>
      </w:r>
      <w:r w:rsidRPr="3B76F727">
        <w:rPr>
          <w:rFonts w:eastAsia="Lato" w:cs="Lato"/>
          <w:color w:val="000000" w:themeColor="text1"/>
        </w:rPr>
        <w:t xml:space="preserve"> </w:t>
      </w:r>
      <w:r w:rsidR="00BD3859" w:rsidRPr="3B76F727">
        <w:rPr>
          <w:rFonts w:eastAsia="Lato" w:cs="Lato"/>
          <w:color w:val="000000" w:themeColor="text1"/>
        </w:rPr>
        <w:t>k</w:t>
      </w:r>
      <w:r w:rsidR="00BD3859">
        <w:rPr>
          <w:rFonts w:eastAsia="Lato" w:cs="Lato"/>
          <w:color w:val="000000" w:themeColor="text1"/>
        </w:rPr>
        <w:t>an</w:t>
      </w:r>
      <w:r w:rsidR="00BD3859" w:rsidRPr="3B76F727">
        <w:rPr>
          <w:rFonts w:eastAsia="Lato" w:cs="Lato"/>
          <w:color w:val="000000" w:themeColor="text1"/>
        </w:rPr>
        <w:t xml:space="preserve"> </w:t>
      </w:r>
      <w:r w:rsidRPr="3B76F727">
        <w:rPr>
          <w:rFonts w:eastAsia="Lato" w:cs="Lato"/>
          <w:color w:val="000000" w:themeColor="text1"/>
        </w:rPr>
        <w:t xml:space="preserve">worden gebruikt, worden uitdrukkelijk vermeld in artikel 42 van de wet van </w:t>
      </w:r>
      <w:hyperlink r:id="rId91" w:history="1">
        <w:r w:rsidRPr="001A32F3">
          <w:rPr>
            <w:rStyle w:val="Hyperlink"/>
            <w:rFonts w:eastAsia="Lato" w:cs="Lato"/>
          </w:rPr>
          <w:t>17 juni 2016</w:t>
        </w:r>
      </w:hyperlink>
      <w:r w:rsidRPr="3B76F727">
        <w:rPr>
          <w:rFonts w:eastAsia="Lato" w:cs="Lato"/>
          <w:color w:val="000000" w:themeColor="text1"/>
        </w:rPr>
        <w:t xml:space="preserve">. De </w:t>
      </w:r>
      <w:r w:rsidR="00E469F8">
        <w:rPr>
          <w:rFonts w:eastAsia="Lato" w:cs="Lato"/>
          <w:color w:val="000000" w:themeColor="text1"/>
        </w:rPr>
        <w:t>aanbesteder</w:t>
      </w:r>
      <w:r w:rsidRPr="3B76F727">
        <w:rPr>
          <w:rFonts w:eastAsia="Lato" w:cs="Lato"/>
          <w:color w:val="000000" w:themeColor="text1"/>
        </w:rPr>
        <w:t xml:space="preserve"> bewaart steeds de juridische en feitelijke motivering die het gebruik van deze procedure bij een opdracht rechtvaardigt. Voorgaand artikel bepaalt ook dat opdrachten </w:t>
      </w:r>
      <w:r w:rsidR="002819F0">
        <w:rPr>
          <w:rFonts w:eastAsia="Lato" w:cs="Lato"/>
          <w:color w:val="000000" w:themeColor="text1"/>
        </w:rPr>
        <w:t xml:space="preserve">enkel </w:t>
      </w:r>
      <w:r w:rsidRPr="3B76F727">
        <w:rPr>
          <w:rFonts w:eastAsia="Lato" w:cs="Lato"/>
          <w:color w:val="000000" w:themeColor="text1"/>
        </w:rPr>
        <w:t>via die plaatsingsprocedures mogen worden geplaatst</w:t>
      </w:r>
      <w:r w:rsidR="002819F0">
        <w:rPr>
          <w:rFonts w:eastAsia="Lato" w:cs="Lato"/>
          <w:color w:val="000000" w:themeColor="text1"/>
        </w:rPr>
        <w:t xml:space="preserve"> na</w:t>
      </w:r>
      <w:r w:rsidRPr="3B76F727">
        <w:rPr>
          <w:rFonts w:eastAsia="Lato" w:cs="Lato"/>
          <w:color w:val="000000" w:themeColor="text1"/>
        </w:rPr>
        <w:t xml:space="preserve">, indien mogelijk, raadpleging van meerdere ondernemers. </w:t>
      </w:r>
    </w:p>
    <w:p w14:paraId="6E459601" w14:textId="74998E35" w:rsidR="00CD3EDA" w:rsidRPr="001A18AD" w:rsidRDefault="00CD3EDA" w:rsidP="00CD3EDA">
      <w:pPr>
        <w:rPr>
          <w:rFonts w:eastAsia="Lato" w:cs="Lato"/>
          <w:color w:val="000000" w:themeColor="text1"/>
        </w:rPr>
      </w:pPr>
      <w:r w:rsidRPr="23752E6A">
        <w:rPr>
          <w:rFonts w:eastAsia="Lato" w:cs="Lato"/>
          <w:color w:val="000000" w:themeColor="text1"/>
        </w:rPr>
        <w:t xml:space="preserve">Specifiek met betrekking tot de overheidsopdrachten van beperkte waarde (opdrachten waarvan de geraamde waarde lager is dan 30.000 euro), is eveneens bepaald dat de opdracht wordt geplaatst na raadpleging, indien mogelijk, van de voorwaarden van meerdere ondernemers, maar zonder dat om de indiening van offertes moet worden verzocht. </w:t>
      </w:r>
      <w:r w:rsidRPr="001A18AD">
        <w:rPr>
          <w:rFonts w:eastAsia="Lato" w:cs="Lato"/>
          <w:color w:val="000000" w:themeColor="text1"/>
        </w:rPr>
        <w:t xml:space="preserve">Deze opdrachten kunnen tot stand komen via een aanvaarde factuur. Zie </w:t>
      </w:r>
      <w:r w:rsidR="00A31BB7" w:rsidRPr="001A18AD">
        <w:rPr>
          <w:rFonts w:eastAsia="Lato" w:cs="Lato"/>
          <w:color w:val="000000" w:themeColor="text1"/>
        </w:rPr>
        <w:t xml:space="preserve">artikel 92 van de wet en </w:t>
      </w:r>
      <w:r w:rsidRPr="001A18AD">
        <w:rPr>
          <w:rFonts w:eastAsia="Lato" w:cs="Lato"/>
          <w:color w:val="000000" w:themeColor="text1"/>
        </w:rPr>
        <w:t xml:space="preserve">principe </w:t>
      </w:r>
      <w:r w:rsidR="0058632D" w:rsidRPr="001A18AD">
        <w:rPr>
          <w:rFonts w:eastAsia="Lato" w:cs="Lato"/>
          <w:color w:val="000000" w:themeColor="text1"/>
        </w:rPr>
        <w:t>12</w:t>
      </w:r>
      <w:r w:rsidR="00A31BB7" w:rsidRPr="001A18AD">
        <w:rPr>
          <w:rFonts w:eastAsia="Lato" w:cs="Lato"/>
          <w:color w:val="000000" w:themeColor="text1"/>
        </w:rPr>
        <w:t xml:space="preserve"> van dit charter</w:t>
      </w:r>
      <w:r w:rsidRPr="001A18AD">
        <w:rPr>
          <w:rFonts w:eastAsia="Lato" w:cs="Lato"/>
          <w:color w:val="000000" w:themeColor="text1"/>
        </w:rPr>
        <w:t xml:space="preserve"> voor meer informatie over overheidsopdrachten van beperkte waarde. </w:t>
      </w:r>
    </w:p>
    <w:p w14:paraId="66103B80" w14:textId="620DA622" w:rsidR="00451576" w:rsidRPr="001A18AD" w:rsidRDefault="00451576">
      <w:pPr>
        <w:pStyle w:val="Kop3"/>
        <w:ind w:left="993" w:hanging="993"/>
        <w:rPr>
          <w:rFonts w:eastAsia="Lato"/>
        </w:rPr>
      </w:pPr>
      <w:bookmarkStart w:id="169" w:name="_Toc135840001"/>
      <w:bookmarkStart w:id="170" w:name="_Toc150870606"/>
      <w:r w:rsidRPr="001A18AD">
        <w:rPr>
          <w:rFonts w:eastAsia="Lato"/>
        </w:rPr>
        <w:t xml:space="preserve">Spontane offertes bij </w:t>
      </w:r>
      <w:r w:rsidR="0048286B" w:rsidRPr="001A18AD">
        <w:rPr>
          <w:rFonts w:eastAsia="Lato"/>
        </w:rPr>
        <w:t>de OPZB</w:t>
      </w:r>
      <w:bookmarkEnd w:id="169"/>
      <w:bookmarkEnd w:id="170"/>
    </w:p>
    <w:p w14:paraId="6AE5CA15" w14:textId="680F9483" w:rsidR="003F01BC" w:rsidRPr="001A18AD" w:rsidRDefault="00451576" w:rsidP="00437C23">
      <w:pPr>
        <w:rPr>
          <w:rFonts w:eastAsia="Lato" w:cs="Lato"/>
          <w:color w:val="000000" w:themeColor="text1"/>
        </w:rPr>
      </w:pPr>
      <w:r w:rsidRPr="001A18AD">
        <w:rPr>
          <w:rFonts w:eastAsia="Lato" w:cs="Lato"/>
          <w:color w:val="000000" w:themeColor="text1"/>
        </w:rPr>
        <w:t>De huidige regelgeving overheidsopdrachten bepaalt dat in de onderhandelingsprocedure zonder voorafgaande bekendmaking, de spontane offertes in principe worden verworpen, tenzij bij uitdrukkelijke en gemotiveerde andersluidende beslissing van de aanbestedende overheid. De wering van de spontane offertes vergt dus geen motivering vanwege de aanbesteder.</w:t>
      </w:r>
    </w:p>
    <w:p w14:paraId="4003D0A3" w14:textId="1F062DA0" w:rsidR="00437C23" w:rsidRPr="001A18AD" w:rsidRDefault="00196987">
      <w:pPr>
        <w:pStyle w:val="Kop2"/>
      </w:pPr>
      <w:r w:rsidRPr="001A18AD">
        <w:t xml:space="preserve"> </w:t>
      </w:r>
      <w:bookmarkStart w:id="171" w:name="_Toc135840002"/>
      <w:bookmarkStart w:id="172" w:name="_Toc150870607"/>
      <w:r w:rsidR="00437C23" w:rsidRPr="001A18AD">
        <w:t>Toelichting</w:t>
      </w:r>
      <w:bookmarkEnd w:id="171"/>
      <w:bookmarkEnd w:id="172"/>
    </w:p>
    <w:p w14:paraId="1018B20A" w14:textId="531AD98A" w:rsidR="000B4940" w:rsidRPr="001A18AD" w:rsidRDefault="00465FC9">
      <w:pPr>
        <w:pStyle w:val="Kop3"/>
        <w:ind w:left="993" w:hanging="993"/>
        <w:rPr>
          <w:rFonts w:eastAsia="Lato"/>
        </w:rPr>
      </w:pPr>
      <w:bookmarkStart w:id="173" w:name="_Toc135840003"/>
      <w:bookmarkStart w:id="174" w:name="_Toc150870608"/>
      <w:r w:rsidRPr="001A18AD">
        <w:rPr>
          <w:rFonts w:eastAsia="Lato"/>
        </w:rPr>
        <w:t>Mededinging bij d</w:t>
      </w:r>
      <w:r w:rsidR="00CE2467" w:rsidRPr="001A18AD">
        <w:rPr>
          <w:rFonts w:eastAsia="Lato"/>
        </w:rPr>
        <w:t>e OPZB</w:t>
      </w:r>
      <w:bookmarkEnd w:id="173"/>
      <w:bookmarkEnd w:id="174"/>
    </w:p>
    <w:p w14:paraId="56BC4236" w14:textId="37EA471F" w:rsidR="0037377B" w:rsidRPr="001A18AD" w:rsidRDefault="0037377B" w:rsidP="0037377B">
      <w:pPr>
        <w:rPr>
          <w:rFonts w:eastAsia="Lato" w:cs="Lato"/>
          <w:color w:val="000000" w:themeColor="text1"/>
        </w:rPr>
      </w:pPr>
      <w:r w:rsidRPr="001A18AD">
        <w:rPr>
          <w:rFonts w:eastAsia="Lato" w:cs="Lato"/>
          <w:color w:val="000000" w:themeColor="text1"/>
        </w:rPr>
        <w:t>Voor de onderhandelingsprocedures zonder voorafgaande bekendmaking is het belangrijk dat de aanbestedende overheid waakt over een passende en effectieve mededinging, behalve voor die gevallen waar de wet toestaat de procedure te voeren met één enkele partij of daar waar het kennelijk omwille van het verwaarloosbar</w:t>
      </w:r>
      <w:r w:rsidR="00B30D29" w:rsidRPr="001A18AD">
        <w:rPr>
          <w:rFonts w:eastAsia="Lato" w:cs="Lato"/>
          <w:color w:val="000000" w:themeColor="text1"/>
        </w:rPr>
        <w:t>e</w:t>
      </w:r>
      <w:r w:rsidRPr="001A18AD">
        <w:rPr>
          <w:rFonts w:eastAsia="Lato" w:cs="Lato"/>
          <w:color w:val="000000" w:themeColor="text1"/>
        </w:rPr>
        <w:t xml:space="preserve"> kleine bedrag niet opportuun is om aan meerdere partijen offertes te vragen. In dat laatste geval is het trouwens beter gebruik te maken van de procedure voor opdrachten van beperkte waarde (via de “aanvaarde factuur”</w:t>
      </w:r>
      <w:r w:rsidR="007153A4" w:rsidRPr="001A18AD">
        <w:rPr>
          <w:rFonts w:eastAsia="Lato" w:cs="Lato"/>
          <w:color w:val="000000" w:themeColor="text1"/>
        </w:rPr>
        <w:t>, zie ook principe 12</w:t>
      </w:r>
      <w:r w:rsidRPr="001A18AD">
        <w:rPr>
          <w:rFonts w:eastAsia="Lato" w:cs="Lato"/>
          <w:color w:val="000000" w:themeColor="text1"/>
        </w:rPr>
        <w:t xml:space="preserve">). </w:t>
      </w:r>
    </w:p>
    <w:p w14:paraId="0F44F247" w14:textId="08D2F993" w:rsidR="0037377B" w:rsidRDefault="0037377B" w:rsidP="0037377B">
      <w:pPr>
        <w:rPr>
          <w:rFonts w:eastAsia="Lato" w:cs="Lato"/>
          <w:color w:val="000000" w:themeColor="text1"/>
        </w:rPr>
      </w:pPr>
      <w:r w:rsidRPr="001A18AD">
        <w:rPr>
          <w:rFonts w:eastAsia="Lato" w:cs="Lato"/>
          <w:color w:val="000000" w:themeColor="text1"/>
        </w:rPr>
        <w:t xml:space="preserve">In de regel zal een aanbesteder dus bij een onderhandelingsprocedure zonder voorafgaande bekendmaking een aantal, </w:t>
      </w:r>
      <w:r w:rsidR="00765DF3" w:rsidRPr="001A18AD">
        <w:rPr>
          <w:rFonts w:eastAsia="Lato" w:cs="Lato"/>
          <w:color w:val="000000" w:themeColor="text1"/>
        </w:rPr>
        <w:t xml:space="preserve">bij voorkeur </w:t>
      </w:r>
      <w:r w:rsidR="00522CF2">
        <w:rPr>
          <w:rFonts w:eastAsia="Lato" w:cs="Lato"/>
          <w:color w:val="000000" w:themeColor="text1"/>
        </w:rPr>
        <w:t xml:space="preserve">minstens </w:t>
      </w:r>
      <w:r w:rsidRPr="001A18AD">
        <w:rPr>
          <w:rFonts w:eastAsia="Lato" w:cs="Lato"/>
          <w:color w:val="000000" w:themeColor="text1"/>
        </w:rPr>
        <w:t>een drietal</w:t>
      </w:r>
      <w:r w:rsidR="00E11906" w:rsidRPr="001A18AD">
        <w:rPr>
          <w:rFonts w:eastAsia="Lato" w:cs="Lato"/>
          <w:color w:val="000000" w:themeColor="text1"/>
        </w:rPr>
        <w:t xml:space="preserve"> – </w:t>
      </w:r>
      <w:r w:rsidRPr="001A18AD">
        <w:rPr>
          <w:rFonts w:eastAsia="Lato" w:cs="Lato"/>
          <w:color w:val="000000" w:themeColor="text1"/>
        </w:rPr>
        <w:t xml:space="preserve">maar niet altijd dezelfde partijen, bekwaam geachte ondernemers uitnodigen tot het indienen van een offerte. </w:t>
      </w:r>
      <w:r w:rsidRPr="001A18AD">
        <w:rPr>
          <w:rFonts w:eastAsia="Lato" w:cs="Lato"/>
          <w:b/>
          <w:bCs/>
          <w:color w:val="000000" w:themeColor="text1"/>
        </w:rPr>
        <w:t xml:space="preserve">Een goede vuistregel </w:t>
      </w:r>
      <w:r w:rsidRPr="001A18AD">
        <w:rPr>
          <w:rFonts w:eastAsia="Lato" w:cs="Lato"/>
          <w:b/>
          <w:bCs/>
          <w:color w:val="000000" w:themeColor="text1"/>
        </w:rPr>
        <w:lastRenderedPageBreak/>
        <w:t>die de</w:t>
      </w:r>
      <w:r w:rsidRPr="002E7393">
        <w:rPr>
          <w:rFonts w:eastAsia="Lato" w:cs="Lato"/>
          <w:b/>
          <w:bCs/>
          <w:color w:val="000000" w:themeColor="text1"/>
        </w:rPr>
        <w:t xml:space="preserve"> mededinging levendig houdt</w:t>
      </w:r>
      <w:r w:rsidR="00E47ABE">
        <w:rPr>
          <w:rFonts w:eastAsia="Lato" w:cs="Lato"/>
          <w:b/>
          <w:bCs/>
          <w:color w:val="000000" w:themeColor="text1"/>
        </w:rPr>
        <w:t>,</w:t>
      </w:r>
      <w:r w:rsidRPr="002E7393">
        <w:rPr>
          <w:rFonts w:eastAsia="Lato" w:cs="Lato"/>
          <w:b/>
          <w:bCs/>
          <w:color w:val="000000" w:themeColor="text1"/>
        </w:rPr>
        <w:t xml:space="preserve"> is: twee bekwame ondernemers waarvan de </w:t>
      </w:r>
      <w:r w:rsidR="00E47ABE">
        <w:rPr>
          <w:rFonts w:eastAsia="Lato" w:cs="Lato"/>
          <w:b/>
          <w:bCs/>
          <w:color w:val="000000" w:themeColor="text1"/>
        </w:rPr>
        <w:t>aanbesteder</w:t>
      </w:r>
      <w:r w:rsidRPr="002E7393">
        <w:rPr>
          <w:rFonts w:eastAsia="Lato" w:cs="Lato"/>
          <w:b/>
          <w:bCs/>
          <w:color w:val="000000" w:themeColor="text1"/>
        </w:rPr>
        <w:t xml:space="preserve"> reeds weet dat ze goed presteren en één “</w:t>
      </w:r>
      <w:r w:rsidRPr="002E7393">
        <w:rPr>
          <w:rFonts w:eastAsia="Lato" w:cs="Lato"/>
          <w:b/>
          <w:bCs/>
        </w:rPr>
        <w:t>nieuwe</w:t>
      </w:r>
      <w:r>
        <w:rPr>
          <w:rFonts w:eastAsia="Lato" w:cs="Lato"/>
          <w:b/>
          <w:bCs/>
        </w:rPr>
        <w:t xml:space="preserve">” </w:t>
      </w:r>
      <w:r w:rsidRPr="002E7393">
        <w:rPr>
          <w:rFonts w:eastAsia="Lato" w:cs="Lato"/>
          <w:b/>
          <w:bCs/>
          <w:color w:val="000000" w:themeColor="text1"/>
        </w:rPr>
        <w:t xml:space="preserve">partij, maar waar toch ook al – zo goed als mogelijk – is nagegaan </w:t>
      </w:r>
      <w:r w:rsidR="00DE6D89">
        <w:rPr>
          <w:rFonts w:eastAsia="Lato" w:cs="Lato"/>
          <w:b/>
          <w:bCs/>
          <w:color w:val="000000" w:themeColor="text1"/>
        </w:rPr>
        <w:t>via</w:t>
      </w:r>
      <w:r w:rsidR="00DE6D89" w:rsidRPr="002E7393">
        <w:rPr>
          <w:rFonts w:eastAsia="Lato" w:cs="Lato"/>
          <w:b/>
          <w:bCs/>
          <w:color w:val="000000" w:themeColor="text1"/>
        </w:rPr>
        <w:t xml:space="preserve"> </w:t>
      </w:r>
      <w:r w:rsidRPr="002E7393">
        <w:rPr>
          <w:rFonts w:eastAsia="Lato" w:cs="Lato"/>
          <w:b/>
          <w:bCs/>
          <w:color w:val="000000" w:themeColor="text1"/>
        </w:rPr>
        <w:t>het marktonderzoek of ze over de gepaste bekwaamheid beschik</w:t>
      </w:r>
      <w:r>
        <w:rPr>
          <w:rFonts w:eastAsia="Lato" w:cs="Lato"/>
          <w:b/>
          <w:bCs/>
          <w:color w:val="000000" w:themeColor="text1"/>
        </w:rPr>
        <w:t>t</w:t>
      </w:r>
      <w:r w:rsidRPr="00583F8E">
        <w:rPr>
          <w:rFonts w:eastAsia="Lato" w:cs="Lato"/>
          <w:b/>
          <w:bCs/>
          <w:color w:val="000000" w:themeColor="text1"/>
        </w:rPr>
        <w:t>.</w:t>
      </w:r>
    </w:p>
    <w:p w14:paraId="2C9B38EF" w14:textId="24F4FDDA" w:rsidR="00820B6E" w:rsidRDefault="00C3499E" w:rsidP="0037377B">
      <w:pPr>
        <w:rPr>
          <w:rFonts w:eastAsia="Lato" w:cs="Lato"/>
          <w:color w:val="000000" w:themeColor="text1"/>
        </w:rPr>
      </w:pPr>
      <w:r>
        <w:rPr>
          <w:rFonts w:eastAsia="Lato" w:cs="Lato"/>
          <w:color w:val="000000" w:themeColor="text1"/>
        </w:rPr>
        <w:t xml:space="preserve">De </w:t>
      </w:r>
      <w:r w:rsidR="005D7A68">
        <w:rPr>
          <w:rFonts w:eastAsia="Lato" w:cs="Lato"/>
          <w:color w:val="000000" w:themeColor="text1"/>
        </w:rPr>
        <w:t xml:space="preserve">hierboven vermelde </w:t>
      </w:r>
      <w:r>
        <w:rPr>
          <w:rFonts w:eastAsia="Lato" w:cs="Lato"/>
          <w:color w:val="000000" w:themeColor="text1"/>
        </w:rPr>
        <w:t>vuistregel</w:t>
      </w:r>
      <w:r w:rsidR="00C240DB">
        <w:rPr>
          <w:rFonts w:eastAsia="Lato" w:cs="Lato"/>
          <w:color w:val="000000" w:themeColor="text1"/>
        </w:rPr>
        <w:t xml:space="preserve"> over “minstens een drietal” betreft een minimumaantal. </w:t>
      </w:r>
      <w:r w:rsidR="002D030C">
        <w:rPr>
          <w:rFonts w:eastAsia="Lato" w:cs="Lato"/>
          <w:color w:val="000000" w:themeColor="text1"/>
        </w:rPr>
        <w:t>De marktrealiteit speelt immers ook een belangrijke rol: in sectoren</w:t>
      </w:r>
      <w:r w:rsidR="00AF3D6E">
        <w:rPr>
          <w:rFonts w:eastAsia="Lato" w:cs="Lato"/>
          <w:color w:val="000000" w:themeColor="text1"/>
        </w:rPr>
        <w:t xml:space="preserve"> met veel spelers</w:t>
      </w:r>
      <w:r w:rsidR="002D030C">
        <w:rPr>
          <w:rFonts w:eastAsia="Lato" w:cs="Lato"/>
          <w:color w:val="000000" w:themeColor="text1"/>
        </w:rPr>
        <w:t xml:space="preserve"> </w:t>
      </w:r>
      <w:r w:rsidR="00AB2EFB">
        <w:rPr>
          <w:rFonts w:eastAsia="Lato" w:cs="Lato"/>
          <w:color w:val="000000" w:themeColor="text1"/>
        </w:rPr>
        <w:t xml:space="preserve">zal het zich beperken tot het vragen van drie offertes </w:t>
      </w:r>
      <w:r w:rsidR="0031184C">
        <w:rPr>
          <w:rFonts w:eastAsia="Lato" w:cs="Lato"/>
          <w:color w:val="000000" w:themeColor="text1"/>
        </w:rPr>
        <w:t xml:space="preserve">in de praktijk </w:t>
      </w:r>
      <w:r w:rsidR="000021B8">
        <w:rPr>
          <w:rFonts w:eastAsia="Lato" w:cs="Lato"/>
          <w:color w:val="000000" w:themeColor="text1"/>
        </w:rPr>
        <w:t xml:space="preserve">net </w:t>
      </w:r>
      <w:r w:rsidR="0031184C">
        <w:rPr>
          <w:rFonts w:eastAsia="Lato" w:cs="Lato"/>
          <w:color w:val="000000" w:themeColor="text1"/>
        </w:rPr>
        <w:t xml:space="preserve">neerkomen op </w:t>
      </w:r>
      <w:r w:rsidR="0068640D">
        <w:rPr>
          <w:rFonts w:eastAsia="Lato" w:cs="Lato"/>
          <w:color w:val="000000" w:themeColor="text1"/>
        </w:rPr>
        <w:t xml:space="preserve">een </w:t>
      </w:r>
      <w:r w:rsidR="0031184C">
        <w:rPr>
          <w:rFonts w:eastAsia="Lato" w:cs="Lato"/>
          <w:color w:val="000000" w:themeColor="text1"/>
        </w:rPr>
        <w:t>beperking</w:t>
      </w:r>
      <w:r w:rsidR="003904D7">
        <w:rPr>
          <w:rFonts w:eastAsia="Lato" w:cs="Lato"/>
          <w:color w:val="000000" w:themeColor="text1"/>
        </w:rPr>
        <w:t xml:space="preserve"> van de mededinging.</w:t>
      </w:r>
      <w:r w:rsidR="001373E0">
        <w:rPr>
          <w:rFonts w:eastAsia="Lato" w:cs="Lato"/>
          <w:color w:val="000000" w:themeColor="text1"/>
        </w:rPr>
        <w:t xml:space="preserve"> Een goede kennis van de markt blijkt opnieuw cruciaal. </w:t>
      </w:r>
      <w:r w:rsidR="003904D7">
        <w:rPr>
          <w:rFonts w:eastAsia="Lato" w:cs="Lato"/>
          <w:color w:val="000000" w:themeColor="text1"/>
        </w:rPr>
        <w:t xml:space="preserve"> </w:t>
      </w:r>
    </w:p>
    <w:p w14:paraId="630F4D68" w14:textId="1C8EC7FF" w:rsidR="0037377B" w:rsidRDefault="0037377B" w:rsidP="0037377B">
      <w:pPr>
        <w:rPr>
          <w:rFonts w:eastAsia="Lato" w:cs="Lato"/>
          <w:color w:val="000000" w:themeColor="text1"/>
        </w:rPr>
      </w:pPr>
      <w:r w:rsidRPr="23752E6A">
        <w:rPr>
          <w:rFonts w:eastAsia="Lato" w:cs="Lato"/>
          <w:color w:val="000000" w:themeColor="text1"/>
        </w:rPr>
        <w:t xml:space="preserve">In tegenstelling tot wat voorzien is in de andere procedures, geldt hier geen enkele minimumtermijn voor de ontvangst van de offertes en wordt dit overgelaten aan de </w:t>
      </w:r>
      <w:r w:rsidR="00D742EB">
        <w:rPr>
          <w:rFonts w:eastAsia="Lato" w:cs="Lato"/>
          <w:color w:val="000000" w:themeColor="text1"/>
        </w:rPr>
        <w:t>aanbesteder</w:t>
      </w:r>
      <w:r w:rsidRPr="23752E6A">
        <w:rPr>
          <w:rFonts w:eastAsia="Lato" w:cs="Lato"/>
          <w:color w:val="000000" w:themeColor="text1"/>
        </w:rPr>
        <w:t>. Logischerwijs moet voldoende tijd gegeven worden opdat de leveranciers een degelijke offerte kunnen opleveren, rekening houdende met de complexiteit van de opdracht.</w:t>
      </w:r>
    </w:p>
    <w:p w14:paraId="5D1970C9" w14:textId="77777777" w:rsidR="0037377B" w:rsidRDefault="0037377B" w:rsidP="0037377B">
      <w:pPr>
        <w:rPr>
          <w:rFonts w:eastAsia="Lato" w:cs="Lato"/>
          <w:color w:val="000000" w:themeColor="text1"/>
        </w:rPr>
      </w:pPr>
      <w:r w:rsidRPr="23752E6A">
        <w:rPr>
          <w:rFonts w:eastAsia="Lato" w:cs="Lato"/>
          <w:color w:val="000000" w:themeColor="text1"/>
        </w:rPr>
        <w:t>De aanbestedende overheid kan tot slot met de inschrijvers onderhandelen over de initiële en alle volgende offertes met het oog op de verbetering van de inhoud ervan. Over de gunningscriteria wordt uiteraard niet onderhandeld. Indien het geraamde bedrag lager ligt dan de drempels voor Europese bekendmaking, kan er eventueel wel onderhandeld worden over de minimumeisen</w:t>
      </w:r>
      <w:r>
        <w:rPr>
          <w:rFonts w:eastAsia="Lato" w:cs="Lato"/>
          <w:color w:val="000000" w:themeColor="text1"/>
        </w:rPr>
        <w:t xml:space="preserve"> </w:t>
      </w:r>
      <w:r w:rsidRPr="00901818">
        <w:rPr>
          <w:rFonts w:eastAsia="Lato" w:cs="Lato"/>
          <w:color w:val="000000" w:themeColor="text1"/>
        </w:rPr>
        <w:t>voor zover d</w:t>
      </w:r>
      <w:r>
        <w:rPr>
          <w:rFonts w:eastAsia="Lato" w:cs="Lato"/>
          <w:color w:val="000000" w:themeColor="text1"/>
        </w:rPr>
        <w:t>a</w:t>
      </w:r>
      <w:r w:rsidRPr="00901818">
        <w:rPr>
          <w:rFonts w:eastAsia="Lato" w:cs="Lato"/>
          <w:color w:val="000000" w:themeColor="text1"/>
        </w:rPr>
        <w:t>t niet uitgesloten werd in de opdrachtdocumenten</w:t>
      </w:r>
      <w:r w:rsidRPr="23752E6A">
        <w:rPr>
          <w:rFonts w:eastAsia="Lato" w:cs="Lato"/>
          <w:color w:val="000000" w:themeColor="text1"/>
        </w:rPr>
        <w:t>.</w:t>
      </w:r>
    </w:p>
    <w:p w14:paraId="2B637B10" w14:textId="77777777" w:rsidR="008220D0" w:rsidRPr="008220D0" w:rsidRDefault="008220D0">
      <w:pPr>
        <w:pStyle w:val="Kop3"/>
        <w:ind w:left="993" w:hanging="993"/>
        <w:rPr>
          <w:rFonts w:eastAsia="Lato"/>
        </w:rPr>
      </w:pPr>
      <w:bookmarkStart w:id="175" w:name="_Toc135840004"/>
      <w:bookmarkStart w:id="176" w:name="_Toc150870609"/>
      <w:r w:rsidRPr="008220D0">
        <w:rPr>
          <w:rFonts w:eastAsia="Lato"/>
        </w:rPr>
        <w:t>Spontane offertes</w:t>
      </w:r>
      <w:bookmarkEnd w:id="175"/>
      <w:bookmarkEnd w:id="176"/>
    </w:p>
    <w:p w14:paraId="2274EF8E" w14:textId="77777777" w:rsidR="008220D0" w:rsidRDefault="008220D0" w:rsidP="008220D0">
      <w:pPr>
        <w:rPr>
          <w:rFonts w:eastAsia="Lato" w:cs="Lato"/>
          <w:color w:val="000000" w:themeColor="text1"/>
        </w:rPr>
      </w:pPr>
      <w:r w:rsidRPr="23752E6A">
        <w:rPr>
          <w:rFonts w:eastAsia="Lato" w:cs="Lato"/>
          <w:color w:val="000000" w:themeColor="text1"/>
        </w:rPr>
        <w:t xml:space="preserve">Dat de aanbestedende overheid ondernemers kiest om een offerte in te dienen, </w:t>
      </w:r>
      <w:r w:rsidRPr="004D6773">
        <w:rPr>
          <w:rFonts w:eastAsia="Lato" w:cs="Lato"/>
          <w:b/>
          <w:bCs/>
          <w:color w:val="000000" w:themeColor="text1"/>
        </w:rPr>
        <w:t>veronderstelt een impliciete selectie</w:t>
      </w:r>
      <w:r w:rsidRPr="23752E6A">
        <w:rPr>
          <w:rFonts w:eastAsia="Lato" w:cs="Lato"/>
          <w:color w:val="000000" w:themeColor="text1"/>
        </w:rPr>
        <w:t xml:space="preserve">: de ondernemers die worden geraadpleegd, worden immers geacht te voldoen aan impliciete bekwaamheidseisen. </w:t>
      </w:r>
    </w:p>
    <w:p w14:paraId="7B16CCC9" w14:textId="127B88CA" w:rsidR="008220D0" w:rsidRPr="00F861CC" w:rsidRDefault="008220D0" w:rsidP="008220D0">
      <w:pPr>
        <w:rPr>
          <w:rFonts w:eastAsia="Lato" w:cs="Lato"/>
          <w:color w:val="000000" w:themeColor="text1"/>
        </w:rPr>
      </w:pPr>
      <w:r w:rsidRPr="23752E6A">
        <w:rPr>
          <w:rFonts w:eastAsia="Lato" w:cs="Lato"/>
          <w:color w:val="000000" w:themeColor="text1"/>
        </w:rPr>
        <w:t xml:space="preserve">Het is dan ook niet verwonderlijk dat de regelgeving overheidsopdrachten de bepaling bevat die stelt dat de door ondernemers spontaan ingediende offertes in een onderhandelingsprocedure zonder voorafgaande bekendmaking in principe worden verworpen, tenzij bij uitdrukkelijke en gemotiveerde andersluidende beslissing van de </w:t>
      </w:r>
      <w:r w:rsidR="00BE45AE">
        <w:rPr>
          <w:rFonts w:eastAsia="Lato" w:cs="Lato"/>
          <w:color w:val="000000" w:themeColor="text1"/>
        </w:rPr>
        <w:t>aanbesteder</w:t>
      </w:r>
      <w:r w:rsidRPr="23752E6A">
        <w:rPr>
          <w:rFonts w:eastAsia="Lato" w:cs="Lato"/>
          <w:color w:val="000000" w:themeColor="text1"/>
        </w:rPr>
        <w:t>. Spontane offertes verminderen immers de kansen van de door de aanbestedende overheid gekozen ondernemers om de opdracht te winnen</w:t>
      </w:r>
      <w:r>
        <w:rPr>
          <w:rFonts w:eastAsia="Lato" w:cs="Lato"/>
          <w:color w:val="000000" w:themeColor="text1"/>
        </w:rPr>
        <w:t>,</w:t>
      </w:r>
      <w:r w:rsidRPr="23752E6A">
        <w:rPr>
          <w:rFonts w:eastAsia="Lato" w:cs="Lato"/>
          <w:color w:val="000000" w:themeColor="text1"/>
        </w:rPr>
        <w:t xml:space="preserve"> ze worden mogelijk ingediend door ondernemers die niet beantwoorden aan de impliciet gestelde bekwaamheidseisen en ze kunnen de beoordeling van de offertes bezwaren. </w:t>
      </w:r>
    </w:p>
    <w:p w14:paraId="34BB2FAF" w14:textId="18EA545C" w:rsidR="008220D0" w:rsidRPr="00F861CC" w:rsidRDefault="008220D0" w:rsidP="008220D0">
      <w:pPr>
        <w:rPr>
          <w:rFonts w:eastAsia="Lato" w:cs="Lato"/>
          <w:color w:val="000000" w:themeColor="text1"/>
        </w:rPr>
      </w:pPr>
      <w:r w:rsidRPr="036E4F87">
        <w:rPr>
          <w:rFonts w:eastAsia="Lato" w:cs="Lato"/>
          <w:color w:val="000000" w:themeColor="text1"/>
        </w:rPr>
        <w:t xml:space="preserve">Het systematisch toelaten van spontane offertes kan dus het verloop van de procedure verzwaren en leiden tot nutteloos en onproductief werk, zowel voor de </w:t>
      </w:r>
      <w:r w:rsidR="00CA289A">
        <w:rPr>
          <w:rFonts w:eastAsia="Lato" w:cs="Lato"/>
          <w:color w:val="000000" w:themeColor="text1"/>
        </w:rPr>
        <w:t>aanbesteder</w:t>
      </w:r>
      <w:r w:rsidRPr="036E4F87">
        <w:rPr>
          <w:rFonts w:eastAsia="Lato" w:cs="Lato"/>
          <w:color w:val="000000" w:themeColor="text1"/>
        </w:rPr>
        <w:t xml:space="preserve"> als voor de ondernemers</w:t>
      </w:r>
      <w:r>
        <w:rPr>
          <w:rFonts w:eastAsia="Lato" w:cs="Lato"/>
          <w:color w:val="000000" w:themeColor="text1"/>
        </w:rPr>
        <w:t>.</w:t>
      </w:r>
      <w:r w:rsidRPr="036E4F87">
        <w:rPr>
          <w:rFonts w:eastAsia="Lato" w:cs="Lato"/>
          <w:color w:val="000000" w:themeColor="text1"/>
        </w:rPr>
        <w:t xml:space="preserve"> </w:t>
      </w:r>
      <w:r>
        <w:rPr>
          <w:rFonts w:eastAsia="Lato" w:cs="Lato"/>
          <w:color w:val="000000" w:themeColor="text1"/>
        </w:rPr>
        <w:t>O</w:t>
      </w:r>
      <w:r w:rsidRPr="036E4F87">
        <w:rPr>
          <w:rFonts w:eastAsia="Lato" w:cs="Lato"/>
          <w:color w:val="000000" w:themeColor="text1"/>
        </w:rPr>
        <w:t xml:space="preserve">ndernemers kunnen immers ontmoedigd worden wanneer zij telkens kosten maken om een offerte in te dienen waarbij hen een te kleine kans wordt geboden om de opdracht te winnen. </w:t>
      </w:r>
    </w:p>
    <w:p w14:paraId="0C211F60" w14:textId="5B20D124" w:rsidR="008220D0" w:rsidRPr="00F861CC" w:rsidRDefault="008220D0" w:rsidP="008220D0">
      <w:pPr>
        <w:rPr>
          <w:rFonts w:eastAsia="Lato" w:cs="Lato"/>
          <w:color w:val="000000" w:themeColor="text1"/>
        </w:rPr>
      </w:pPr>
      <w:r w:rsidRPr="036E4F87">
        <w:rPr>
          <w:rFonts w:eastAsia="Lato" w:cs="Lato"/>
          <w:color w:val="000000" w:themeColor="text1"/>
        </w:rPr>
        <w:t xml:space="preserve">Toch kan het nuttig zijn om spontane offertes in overweging te nemen en ze in de lopende procedure in aanmerking te nemen: bijvoorbeeld wanneer de </w:t>
      </w:r>
      <w:r w:rsidR="00046C7D">
        <w:rPr>
          <w:rFonts w:eastAsia="Lato" w:cs="Lato"/>
          <w:color w:val="000000" w:themeColor="text1"/>
        </w:rPr>
        <w:t>aanbesteder</w:t>
      </w:r>
      <w:r w:rsidRPr="036E4F87">
        <w:rPr>
          <w:rFonts w:eastAsia="Lato" w:cs="Lato"/>
          <w:color w:val="000000" w:themeColor="text1"/>
        </w:rPr>
        <w:t xml:space="preserve"> onvoldoende offertes heeft ontvangen van de door haar gekozen ondernemers, of wanneer die offertes ongeschikt blijken te zijn. In die gevallen kan het aangewezen zijn om ook een spontaan ontvangen offerte mee op te nemen in de evaluatie van de offertes en de onderhandelingen en, indien die offerte de economisch meest voordelige offerte blijkt te zijn, ze ook te kiezen. </w:t>
      </w:r>
    </w:p>
    <w:p w14:paraId="6DBD4E55" w14:textId="405885BC" w:rsidR="008220D0" w:rsidRDefault="008220D0" w:rsidP="008220D0">
      <w:pPr>
        <w:rPr>
          <w:rFonts w:eastAsia="Lato" w:cs="Lato"/>
          <w:color w:val="000000" w:themeColor="text1"/>
        </w:rPr>
      </w:pPr>
      <w:r w:rsidRPr="036E4F87">
        <w:rPr>
          <w:rFonts w:eastAsia="Lato" w:cs="Lato"/>
          <w:color w:val="000000" w:themeColor="text1"/>
        </w:rPr>
        <w:t xml:space="preserve">In ieder geval maakt de </w:t>
      </w:r>
      <w:r w:rsidR="00493732">
        <w:rPr>
          <w:rFonts w:eastAsia="Lato" w:cs="Lato"/>
          <w:color w:val="000000" w:themeColor="text1"/>
        </w:rPr>
        <w:t>aanbesteder</w:t>
      </w:r>
      <w:r w:rsidRPr="036E4F87">
        <w:rPr>
          <w:rFonts w:eastAsia="Lato" w:cs="Lato"/>
          <w:color w:val="000000" w:themeColor="text1"/>
        </w:rPr>
        <w:t xml:space="preserve"> dankzij een spontane offerte kennis met een nieuwe ondernemer en kan zij die ondernemer in aanmerking nemen om bij de volgende opdracht te worden uitgenodigd een offerte in te dienen. Ook wordt de vrijheid van mededinging bestendigd.</w:t>
      </w:r>
    </w:p>
    <w:p w14:paraId="37EEEFCD" w14:textId="77777777" w:rsidR="00050078" w:rsidRPr="00050078" w:rsidRDefault="00050078">
      <w:pPr>
        <w:pStyle w:val="Kop3"/>
        <w:ind w:left="993" w:hanging="993"/>
        <w:rPr>
          <w:rFonts w:eastAsia="Lato"/>
        </w:rPr>
      </w:pPr>
      <w:bookmarkStart w:id="177" w:name="_Toc135840005"/>
      <w:bookmarkStart w:id="178" w:name="_Toc150870610"/>
      <w:r w:rsidRPr="00050078">
        <w:rPr>
          <w:rFonts w:eastAsia="Lato"/>
        </w:rPr>
        <w:t>Vrijwillige bekendmaking op Belgisch niveau</w:t>
      </w:r>
      <w:bookmarkEnd w:id="177"/>
      <w:bookmarkEnd w:id="178"/>
    </w:p>
    <w:p w14:paraId="64726AB4" w14:textId="57C03F31" w:rsidR="00050078" w:rsidRPr="001A18AD" w:rsidRDefault="00050078" w:rsidP="00050078">
      <w:pPr>
        <w:rPr>
          <w:rFonts w:eastAsia="Lato" w:cs="Lato"/>
          <w:color w:val="000000" w:themeColor="text1"/>
        </w:rPr>
      </w:pPr>
      <w:r w:rsidRPr="3B76F727">
        <w:rPr>
          <w:rFonts w:eastAsia="Lato" w:cs="Lato"/>
          <w:color w:val="000000" w:themeColor="text1"/>
        </w:rPr>
        <w:t xml:space="preserve">Daarnaast kan bij de onderhandelingsprocedure zonder voorafgaande bekendmaking de </w:t>
      </w:r>
      <w:r w:rsidR="00255454">
        <w:rPr>
          <w:rFonts w:eastAsia="Lato" w:cs="Lato"/>
          <w:color w:val="000000" w:themeColor="text1"/>
        </w:rPr>
        <w:t>aanbesteder</w:t>
      </w:r>
      <w:r w:rsidRPr="3B76F727">
        <w:rPr>
          <w:rFonts w:eastAsia="Lato" w:cs="Lato"/>
          <w:color w:val="000000" w:themeColor="text1"/>
        </w:rPr>
        <w:t xml:space="preserve"> in bepaalde gevallen het initiatief nemen om een ruimere bekendheid te geven aan haar opdracht. Dat kan bijvoorbeeld het geval zijn wanneer bij de </w:t>
      </w:r>
      <w:r w:rsidR="005C7CD2">
        <w:rPr>
          <w:rFonts w:eastAsia="Lato" w:cs="Lato"/>
          <w:color w:val="000000" w:themeColor="text1"/>
        </w:rPr>
        <w:t>aanbesteder</w:t>
      </w:r>
      <w:r w:rsidRPr="3B76F727">
        <w:rPr>
          <w:rFonts w:eastAsia="Lato" w:cs="Lato"/>
          <w:color w:val="000000" w:themeColor="text1"/>
        </w:rPr>
        <w:t>, ondanks het marktonderzoek, onvoldoende mededingers bekend zijn. In plaats van zelf de partijen uit te nodigen</w:t>
      </w:r>
      <w:r w:rsidR="00A00854">
        <w:rPr>
          <w:rFonts w:eastAsia="Lato" w:cs="Lato"/>
          <w:color w:val="000000" w:themeColor="text1"/>
        </w:rPr>
        <w:t xml:space="preserve"> (of aanvullend op)</w:t>
      </w:r>
      <w:r w:rsidRPr="3B76F727">
        <w:rPr>
          <w:rFonts w:eastAsia="Lato" w:cs="Lato"/>
          <w:color w:val="000000" w:themeColor="text1"/>
        </w:rPr>
        <w:t xml:space="preserve">, kan ze bijvoorbeeld de opdracht </w:t>
      </w:r>
      <w:r w:rsidRPr="001A18AD">
        <w:rPr>
          <w:rFonts w:eastAsia="Lato" w:cs="Lato"/>
          <w:color w:val="000000" w:themeColor="text1"/>
        </w:rPr>
        <w:t xml:space="preserve">bekend maken op haar website en/of een vrijwillige publicatie doen via e-Procurement, zie ook principe </w:t>
      </w:r>
      <w:r w:rsidR="00B16BDA" w:rsidRPr="001A18AD">
        <w:rPr>
          <w:rFonts w:eastAsia="Lato" w:cs="Lato"/>
          <w:color w:val="000000" w:themeColor="text1"/>
        </w:rPr>
        <w:t>2</w:t>
      </w:r>
      <w:r w:rsidRPr="001A18AD">
        <w:rPr>
          <w:rFonts w:eastAsia="Lato" w:cs="Lato"/>
          <w:color w:val="000000" w:themeColor="text1"/>
        </w:rPr>
        <w:t>.</w:t>
      </w:r>
    </w:p>
    <w:p w14:paraId="1474766D" w14:textId="0F96FC49" w:rsidR="00050078" w:rsidRDefault="00050078" w:rsidP="00050078">
      <w:pPr>
        <w:rPr>
          <w:rFonts w:eastAsia="Lato" w:cs="Lato"/>
          <w:color w:val="000000" w:themeColor="text1"/>
        </w:rPr>
      </w:pPr>
      <w:r w:rsidRPr="001A18AD">
        <w:rPr>
          <w:rFonts w:eastAsia="Lato" w:cs="Lato"/>
          <w:color w:val="000000" w:themeColor="text1"/>
        </w:rPr>
        <w:t>In de eerste versie van het charter werd hier nog verwezen naar de “open publicatie”-optie van de “Free Market"-omgeving in de e-Notification-toepassing</w:t>
      </w:r>
      <w:r w:rsidR="00316A8B" w:rsidRPr="001A18AD">
        <w:rPr>
          <w:rFonts w:eastAsia="Lato" w:cs="Lato"/>
          <w:color w:val="000000" w:themeColor="text1"/>
        </w:rPr>
        <w:t>.</w:t>
      </w:r>
      <w:r w:rsidRPr="001A18AD">
        <w:rPr>
          <w:rFonts w:eastAsia="Lato" w:cs="Lato"/>
          <w:color w:val="000000" w:themeColor="text1"/>
        </w:rPr>
        <w:t xml:space="preserve"> </w:t>
      </w:r>
      <w:r w:rsidR="00316A8B" w:rsidRPr="001A18AD">
        <w:rPr>
          <w:rFonts w:eastAsia="Lato" w:cs="Lato"/>
          <w:color w:val="000000" w:themeColor="text1"/>
        </w:rPr>
        <w:t>V</w:t>
      </w:r>
      <w:r w:rsidRPr="001A18AD">
        <w:rPr>
          <w:rFonts w:eastAsia="Lato" w:cs="Lato"/>
          <w:color w:val="000000" w:themeColor="text1"/>
        </w:rPr>
        <w:t xml:space="preserve">andaag </w:t>
      </w:r>
      <w:r w:rsidR="002F5312" w:rsidRPr="001A18AD">
        <w:rPr>
          <w:rFonts w:eastAsia="Lato" w:cs="Lato"/>
          <w:color w:val="000000" w:themeColor="text1"/>
        </w:rPr>
        <w:t>bestaat</w:t>
      </w:r>
      <w:r w:rsidR="002F5312" w:rsidRPr="3B76F727">
        <w:rPr>
          <w:rFonts w:eastAsia="Lato" w:cs="Lato"/>
          <w:color w:val="000000" w:themeColor="text1"/>
        </w:rPr>
        <w:t xml:space="preserve"> </w:t>
      </w:r>
      <w:r w:rsidRPr="3B76F727">
        <w:rPr>
          <w:rFonts w:eastAsia="Lato" w:cs="Lato"/>
          <w:color w:val="000000" w:themeColor="text1"/>
        </w:rPr>
        <w:t xml:space="preserve">die situatie niet langer. </w:t>
      </w:r>
    </w:p>
    <w:p w14:paraId="52EFF0D0" w14:textId="21CE8165" w:rsidR="00050078" w:rsidRDefault="00050078" w:rsidP="00050078">
      <w:pPr>
        <w:rPr>
          <w:rFonts w:eastAsia="Lato" w:cs="Lato"/>
          <w:color w:val="000000" w:themeColor="text1"/>
        </w:rPr>
      </w:pPr>
      <w:r w:rsidRPr="3B76F727">
        <w:rPr>
          <w:rFonts w:eastAsia="Lato" w:cs="Lato"/>
          <w:color w:val="000000" w:themeColor="text1"/>
        </w:rPr>
        <w:t>In het vernieuwde e-Procurement wordt immers afgestapt van de idee dat bepaalde opdrachten niet kunnen worden gepubliceerd in het Bulletin der Aanbestedingen</w:t>
      </w:r>
      <w:r w:rsidR="00A80CE9">
        <w:rPr>
          <w:rFonts w:eastAsia="Lato" w:cs="Lato"/>
          <w:color w:val="000000" w:themeColor="text1"/>
        </w:rPr>
        <w:t xml:space="preserve"> (BDA)</w:t>
      </w:r>
      <w:r w:rsidRPr="3B76F727">
        <w:rPr>
          <w:rFonts w:eastAsia="Lato" w:cs="Lato"/>
          <w:color w:val="000000" w:themeColor="text1"/>
        </w:rPr>
        <w:t xml:space="preserve">, maar enkel in een </w:t>
      </w:r>
      <w:r w:rsidRPr="3B76F727">
        <w:rPr>
          <w:rFonts w:eastAsia="Lato" w:cs="Lato"/>
          <w:color w:val="000000" w:themeColor="text1"/>
        </w:rPr>
        <w:lastRenderedPageBreak/>
        <w:t xml:space="preserve">aparte omgeving, die de Free Market werd genoemd. Deze situatie bracht heel wat verwarring met zich mee met als resultaat dat bepaalde opdrachten, met name diegene met een geraamde waarde lager dan de nationale publicatiedrempel, </w:t>
      </w:r>
      <w:r w:rsidR="00D64B5E">
        <w:rPr>
          <w:rFonts w:eastAsia="Lato" w:cs="Lato"/>
          <w:color w:val="000000" w:themeColor="text1"/>
        </w:rPr>
        <w:t xml:space="preserve">vaak </w:t>
      </w:r>
      <w:r w:rsidRPr="3B76F727">
        <w:rPr>
          <w:rFonts w:eastAsia="Lato" w:cs="Lato"/>
          <w:color w:val="000000" w:themeColor="text1"/>
        </w:rPr>
        <w:t xml:space="preserve">onder de radar bleven. </w:t>
      </w:r>
    </w:p>
    <w:p w14:paraId="59F644C3" w14:textId="3EC9AD07" w:rsidR="00050078" w:rsidRDefault="00050078" w:rsidP="00050078">
      <w:pPr>
        <w:rPr>
          <w:rFonts w:eastAsia="Lato" w:cs="Lato"/>
          <w:color w:val="000000" w:themeColor="text1"/>
        </w:rPr>
      </w:pPr>
      <w:r w:rsidRPr="3B76F727">
        <w:rPr>
          <w:rFonts w:eastAsia="Lato" w:cs="Lato"/>
          <w:color w:val="000000" w:themeColor="text1"/>
        </w:rPr>
        <w:t xml:space="preserve">Daarom wordt </w:t>
      </w:r>
      <w:r w:rsidRPr="00D64B5E">
        <w:rPr>
          <w:rFonts w:eastAsia="Lato" w:cs="Lato"/>
          <w:b/>
          <w:bCs/>
          <w:color w:val="000000" w:themeColor="text1"/>
        </w:rPr>
        <w:t xml:space="preserve">in het vernieuwde e-Procurement alles in het </w:t>
      </w:r>
      <w:r w:rsidR="00A80CE9">
        <w:rPr>
          <w:rFonts w:eastAsia="Lato" w:cs="Lato"/>
          <w:b/>
          <w:bCs/>
          <w:color w:val="000000" w:themeColor="text1"/>
        </w:rPr>
        <w:t>BDA</w:t>
      </w:r>
      <w:r w:rsidRPr="00D64B5E">
        <w:rPr>
          <w:rFonts w:eastAsia="Lato" w:cs="Lato"/>
          <w:b/>
          <w:bCs/>
          <w:color w:val="000000" w:themeColor="text1"/>
        </w:rPr>
        <w:t xml:space="preserve"> gepubliceerd</w:t>
      </w:r>
      <w:r w:rsidRPr="3B76F727">
        <w:rPr>
          <w:rFonts w:eastAsia="Lato" w:cs="Lato"/>
          <w:color w:val="000000" w:themeColor="text1"/>
        </w:rPr>
        <w:t xml:space="preserve">. Ondernemingen krijgen dus één omgeving waarin alle aankondigingen met betrekking tot overheidsopdrachten gevonden kunnen worden, inclusief de vrijwillige publicaties voor bijvoorbeeld overheidsopdrachten zonder enige bekendmakingsvoorschriften. </w:t>
      </w:r>
    </w:p>
    <w:p w14:paraId="60111A9B" w14:textId="07E50D54" w:rsidR="005C366E" w:rsidRDefault="00050078" w:rsidP="00437C23">
      <w:pPr>
        <w:rPr>
          <w:rFonts w:eastAsia="Lato" w:cs="Lato"/>
          <w:color w:val="000000" w:themeColor="text1"/>
        </w:rPr>
      </w:pPr>
      <w:r w:rsidRPr="3B76F727">
        <w:rPr>
          <w:rFonts w:eastAsia="Lato" w:cs="Lato"/>
          <w:color w:val="000000" w:themeColor="text1"/>
        </w:rPr>
        <w:t>Gezien het belang van transparantie en toegankelijkheid naar de (kleinere) ondernemingen toe en de nood aan een zekere minimale mededingingsgraad voor de aanbesteders, is gebruik maken van d</w:t>
      </w:r>
      <w:r w:rsidR="009544E9">
        <w:rPr>
          <w:rFonts w:eastAsia="Lato" w:cs="Lato"/>
          <w:color w:val="000000" w:themeColor="text1"/>
        </w:rPr>
        <w:t>i</w:t>
      </w:r>
      <w:r w:rsidRPr="3B76F727">
        <w:rPr>
          <w:rFonts w:eastAsia="Lato" w:cs="Lato"/>
          <w:color w:val="000000" w:themeColor="text1"/>
        </w:rPr>
        <w:t>e optie om vrijwillig te publiceren sterk aanbevolen.</w:t>
      </w:r>
      <w:r w:rsidR="007B2085">
        <w:rPr>
          <w:rFonts w:eastAsia="Lato" w:cs="Lato"/>
          <w:color w:val="000000" w:themeColor="text1"/>
        </w:rPr>
        <w:t xml:space="preserve"> </w:t>
      </w:r>
      <w:r w:rsidR="005C366E">
        <w:rPr>
          <w:rFonts w:eastAsia="Lato" w:cs="Lato"/>
          <w:color w:val="000000" w:themeColor="text1"/>
        </w:rPr>
        <w:t>In geval van vrijwillige publicatie</w:t>
      </w:r>
      <w:r w:rsidR="00D1708D">
        <w:rPr>
          <w:rFonts w:eastAsia="Lato" w:cs="Lato"/>
          <w:color w:val="000000" w:themeColor="text1"/>
        </w:rPr>
        <w:t xml:space="preserve"> van de OPZB</w:t>
      </w:r>
      <w:r w:rsidR="005C366E">
        <w:rPr>
          <w:rFonts w:eastAsia="Lato" w:cs="Lato"/>
          <w:color w:val="000000" w:themeColor="text1"/>
        </w:rPr>
        <w:t xml:space="preserve"> dient de aanbesteder </w:t>
      </w:r>
      <w:r w:rsidR="00444FE6">
        <w:rPr>
          <w:rFonts w:eastAsia="Lato" w:cs="Lato"/>
          <w:color w:val="000000" w:themeColor="text1"/>
        </w:rPr>
        <w:t xml:space="preserve">grondig </w:t>
      </w:r>
      <w:r w:rsidR="005C366E">
        <w:rPr>
          <w:rFonts w:eastAsia="Lato" w:cs="Lato"/>
          <w:color w:val="000000" w:themeColor="text1"/>
        </w:rPr>
        <w:t xml:space="preserve">te reflecteren </w:t>
      </w:r>
      <w:r w:rsidR="00DF1133">
        <w:rPr>
          <w:rFonts w:eastAsia="Lato" w:cs="Lato"/>
          <w:color w:val="000000" w:themeColor="text1"/>
        </w:rPr>
        <w:t xml:space="preserve">over </w:t>
      </w:r>
      <w:r w:rsidR="00444FE6">
        <w:rPr>
          <w:rFonts w:eastAsia="Lato" w:cs="Lato"/>
          <w:color w:val="000000" w:themeColor="text1"/>
        </w:rPr>
        <w:t>het</w:t>
      </w:r>
      <w:r w:rsidR="003E1753">
        <w:rPr>
          <w:rFonts w:eastAsia="Lato" w:cs="Lato"/>
          <w:color w:val="000000" w:themeColor="text1"/>
        </w:rPr>
        <w:t xml:space="preserve"> (bijkomend</w:t>
      </w:r>
      <w:r w:rsidR="00F23590">
        <w:rPr>
          <w:rFonts w:eastAsia="Lato" w:cs="Lato"/>
          <w:color w:val="000000" w:themeColor="text1"/>
        </w:rPr>
        <w:t>e</w:t>
      </w:r>
      <w:r w:rsidR="003E1753">
        <w:rPr>
          <w:rFonts w:eastAsia="Lato" w:cs="Lato"/>
          <w:color w:val="000000" w:themeColor="text1"/>
        </w:rPr>
        <w:t>)</w:t>
      </w:r>
      <w:r w:rsidR="00444FE6">
        <w:rPr>
          <w:rFonts w:eastAsia="Lato" w:cs="Lato"/>
          <w:color w:val="000000" w:themeColor="text1"/>
        </w:rPr>
        <w:t xml:space="preserve"> gebruik van selectiecriteria</w:t>
      </w:r>
      <w:r w:rsidR="007B2085">
        <w:rPr>
          <w:rFonts w:eastAsia="Lato" w:cs="Lato"/>
          <w:color w:val="000000" w:themeColor="text1"/>
        </w:rPr>
        <w:t>.</w:t>
      </w:r>
    </w:p>
    <w:p w14:paraId="757B3F00" w14:textId="32ECAC3B" w:rsidR="0037377B" w:rsidRPr="00B16BDA" w:rsidRDefault="009D2E0E" w:rsidP="00437C23">
      <w:pPr>
        <w:rPr>
          <w:rFonts w:eastAsia="Lato" w:cs="Lato"/>
          <w:color w:val="000000" w:themeColor="text1"/>
        </w:rPr>
      </w:pPr>
      <w:r>
        <w:rPr>
          <w:rFonts w:eastAsia="Lato" w:cs="Lato"/>
          <w:color w:val="000000" w:themeColor="text1"/>
        </w:rPr>
        <w:t xml:space="preserve">Als alternatief kunnen we verwijzen naar de </w:t>
      </w:r>
      <w:r w:rsidRPr="009D2E0E">
        <w:rPr>
          <w:rFonts w:eastAsia="Lato" w:cs="Lato"/>
          <w:color w:val="000000" w:themeColor="text1"/>
        </w:rPr>
        <w:t>vereenvoudigde onderhandelingsprocedure met voorafgaande bekendmaking (VOPMB)</w:t>
      </w:r>
      <w:r>
        <w:rPr>
          <w:rFonts w:eastAsia="Lato" w:cs="Lato"/>
          <w:color w:val="000000" w:themeColor="text1"/>
        </w:rPr>
        <w:t>, zie punt 3.2. voor meer informatie</w:t>
      </w:r>
      <w:r w:rsidR="005A1261">
        <w:rPr>
          <w:rFonts w:eastAsia="Lato" w:cs="Lato"/>
          <w:color w:val="000000" w:themeColor="text1"/>
        </w:rPr>
        <w:t>. Dat</w:t>
      </w:r>
      <w:r w:rsidR="008B1C18">
        <w:rPr>
          <w:rFonts w:eastAsia="Lato" w:cs="Lato"/>
          <w:color w:val="000000" w:themeColor="text1"/>
        </w:rPr>
        <w:t xml:space="preserve"> weliswaar met de nuance dat de VOPMB niet alleen verschilt van de OPZB op vlak van bekendmaking</w:t>
      </w:r>
      <w:r w:rsidR="00EF0249">
        <w:rPr>
          <w:rFonts w:eastAsia="Lato" w:cs="Lato"/>
          <w:color w:val="000000" w:themeColor="text1"/>
        </w:rPr>
        <w:t>, maar ook</w:t>
      </w:r>
      <w:r w:rsidR="001B4AAA">
        <w:rPr>
          <w:rFonts w:eastAsia="Lato" w:cs="Lato"/>
          <w:color w:val="000000" w:themeColor="text1"/>
        </w:rPr>
        <w:t xml:space="preserve"> onder meer</w:t>
      </w:r>
      <w:r w:rsidR="00EF0249">
        <w:rPr>
          <w:rFonts w:eastAsia="Lato" w:cs="Lato"/>
          <w:color w:val="000000" w:themeColor="text1"/>
        </w:rPr>
        <w:t xml:space="preserve"> op vlak van de mogelijkheid om te onderhandelen over de minimumeisen. Bij de VOPMB kan dat niet, bij de OPZB kan dat onder bepaalde voorwaarden wel (zie punt 7.3.). </w:t>
      </w:r>
    </w:p>
    <w:p w14:paraId="42A6B1C9" w14:textId="13553835" w:rsidR="00437C23" w:rsidRPr="009069A3" w:rsidRDefault="00196987">
      <w:pPr>
        <w:pStyle w:val="Kop2"/>
      </w:pPr>
      <w:r>
        <w:t xml:space="preserve"> </w:t>
      </w:r>
      <w:bookmarkStart w:id="179" w:name="_Toc135840006"/>
      <w:bookmarkStart w:id="180" w:name="_Toc150870611"/>
      <w:r w:rsidR="00437C23">
        <w:t>Richtlijnen en instructies</w:t>
      </w:r>
      <w:bookmarkEnd w:id="179"/>
      <w:bookmarkEnd w:id="180"/>
    </w:p>
    <w:tbl>
      <w:tblPr>
        <w:tblStyle w:val="Tabelraster"/>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C757ED" w:rsidRPr="00C757ED" w14:paraId="6FAF2521" w14:textId="77777777" w:rsidTr="00FF6C13">
        <w:tc>
          <w:tcPr>
            <w:tcW w:w="5000" w:type="pct"/>
            <w:shd w:val="clear" w:color="auto" w:fill="FBE4D5" w:themeFill="accent2" w:themeFillTint="33"/>
          </w:tcPr>
          <w:p w14:paraId="222E924C" w14:textId="77777777" w:rsidR="00C757ED" w:rsidRPr="00064B13" w:rsidRDefault="00C757ED">
            <w:pPr>
              <w:pStyle w:val="Lijstnummering"/>
              <w:numPr>
                <w:ilvl w:val="0"/>
                <w:numId w:val="38"/>
              </w:numPr>
              <w:tabs>
                <w:tab w:val="clear" w:pos="360"/>
                <w:tab w:val="num" w:pos="306"/>
              </w:tabs>
              <w:ind w:left="306" w:hanging="306"/>
              <w:rPr>
                <w:rFonts w:eastAsia="Lato"/>
              </w:rPr>
            </w:pPr>
            <w:r w:rsidRPr="00064B13">
              <w:rPr>
                <w:rFonts w:eastAsia="Lato"/>
              </w:rPr>
              <w:t xml:space="preserve">Zorg, ook voor opdrachten die niet onderworpen zijn aan enige verplichte bekendmaking, voor een gepaste en effectieve mededinging. </w:t>
            </w:r>
          </w:p>
        </w:tc>
      </w:tr>
      <w:tr w:rsidR="00C757ED" w:rsidRPr="00C757ED" w14:paraId="32071B3F" w14:textId="77777777" w:rsidTr="00FF6C13">
        <w:tc>
          <w:tcPr>
            <w:tcW w:w="5000" w:type="pct"/>
            <w:shd w:val="clear" w:color="auto" w:fill="FBE4D5" w:themeFill="accent2" w:themeFillTint="33"/>
          </w:tcPr>
          <w:p w14:paraId="2D3053AF" w14:textId="2D008ADC" w:rsidR="00C757ED" w:rsidRPr="00C757ED" w:rsidRDefault="00C757ED" w:rsidP="00C65586">
            <w:pPr>
              <w:pStyle w:val="Bullet3"/>
              <w:rPr>
                <w:lang w:val="nl-BE"/>
              </w:rPr>
            </w:pPr>
            <w:r w:rsidRPr="00C757ED">
              <w:rPr>
                <w:lang w:val="nl-BE"/>
              </w:rPr>
              <w:t>Nodig bij voorkeur een wisselend, drietal bekwaam geachte ondernemers uit tot het indienen van een offerte, bijvoorbeeld twee gekende bekwame ondernemers en telkens één nieuwe partij.</w:t>
            </w:r>
            <w:r w:rsidR="00FB25C9">
              <w:rPr>
                <w:lang w:val="nl-BE"/>
              </w:rPr>
              <w:t xml:space="preserve"> “Drietal” moet hier gelezen worden als een minimum</w:t>
            </w:r>
            <w:r w:rsidR="00411110">
              <w:rPr>
                <w:lang w:val="nl-BE"/>
              </w:rPr>
              <w:t>,</w:t>
            </w:r>
            <w:r w:rsidR="00FB25C9">
              <w:rPr>
                <w:lang w:val="nl-BE"/>
              </w:rPr>
              <w:t xml:space="preserve"> waarb</w:t>
            </w:r>
            <w:r w:rsidR="00411110">
              <w:rPr>
                <w:lang w:val="nl-BE"/>
              </w:rPr>
              <w:t>ij dat aantal ook hoger kan</w:t>
            </w:r>
            <w:r w:rsidR="0075141B">
              <w:rPr>
                <w:lang w:val="nl-BE"/>
              </w:rPr>
              <w:t xml:space="preserve"> (moet)</w:t>
            </w:r>
            <w:r w:rsidR="00411110">
              <w:rPr>
                <w:lang w:val="nl-BE"/>
              </w:rPr>
              <w:t xml:space="preserve"> liggen naargelang de markt in een bepaalde sector.</w:t>
            </w:r>
            <w:r w:rsidRPr="00C757ED">
              <w:rPr>
                <w:lang w:val="nl-BE"/>
              </w:rPr>
              <w:t xml:space="preserve"> </w:t>
            </w:r>
          </w:p>
        </w:tc>
      </w:tr>
      <w:tr w:rsidR="00C757ED" w:rsidRPr="00C757ED" w14:paraId="684B9995" w14:textId="77777777" w:rsidTr="00FF6C13">
        <w:tc>
          <w:tcPr>
            <w:tcW w:w="5000" w:type="pct"/>
            <w:shd w:val="clear" w:color="auto" w:fill="FBE4D5" w:themeFill="accent2" w:themeFillTint="33"/>
          </w:tcPr>
          <w:p w14:paraId="55ACFBFA" w14:textId="77777777" w:rsidR="00C757ED" w:rsidRPr="00C757ED" w:rsidRDefault="00C757ED" w:rsidP="00C65586">
            <w:pPr>
              <w:pStyle w:val="Bullet3"/>
              <w:rPr>
                <w:lang w:val="nl-BE"/>
              </w:rPr>
            </w:pPr>
            <w:r w:rsidRPr="00C757ED">
              <w:rPr>
                <w:lang w:val="nl-BE"/>
              </w:rPr>
              <w:t xml:space="preserve">Overweeg hierbij zorgvuldig het in aanmerking nemen van spontaan ontvangen offertes en </w:t>
            </w:r>
            <w:r w:rsidRPr="00E708DC">
              <w:rPr>
                <w:b/>
                <w:bCs/>
                <w:lang w:val="nl-BE"/>
              </w:rPr>
              <w:t>overweeg het gebruik van bijkomende bekendmakingsmogelijkheden voor de opdracht</w:t>
            </w:r>
            <w:r w:rsidRPr="00C757ED">
              <w:rPr>
                <w:lang w:val="nl-BE"/>
              </w:rPr>
              <w:t>.</w:t>
            </w:r>
          </w:p>
        </w:tc>
      </w:tr>
      <w:tr w:rsidR="00C757ED" w:rsidRPr="00C757ED" w14:paraId="0D9DABBD" w14:textId="77777777" w:rsidTr="00FF6C13">
        <w:tc>
          <w:tcPr>
            <w:tcW w:w="5000" w:type="pct"/>
            <w:shd w:val="clear" w:color="auto" w:fill="FBE4D5" w:themeFill="accent2" w:themeFillTint="33"/>
          </w:tcPr>
          <w:p w14:paraId="05A046F1" w14:textId="135AA508" w:rsidR="005F6CF3" w:rsidRPr="005F6CF3" w:rsidRDefault="00C757ED">
            <w:pPr>
              <w:pStyle w:val="Lijstnummering"/>
            </w:pPr>
            <w:r w:rsidRPr="00E708DC">
              <w:rPr>
                <w:rFonts w:eastAsia="Lato"/>
              </w:rPr>
              <w:t xml:space="preserve">Maak, wanneer mogelijk, bij opdrachten zonder bekendmakingsvoorschriften dan ook gebruik van de mogelijkheid om die opdrachten </w:t>
            </w:r>
            <w:r w:rsidR="005F6CF3" w:rsidRPr="00E708DC">
              <w:rPr>
                <w:rFonts w:eastAsia="Lato"/>
              </w:rPr>
              <w:t xml:space="preserve">vrijwillig </w:t>
            </w:r>
            <w:r w:rsidRPr="00E708DC">
              <w:rPr>
                <w:rFonts w:eastAsia="Lato"/>
              </w:rPr>
              <w:t>te publiceren op e-Procurement</w:t>
            </w:r>
            <w:r w:rsidRPr="00064B13">
              <w:rPr>
                <w:rFonts w:eastAsia="Lato"/>
              </w:rPr>
              <w:t xml:space="preserve">. </w:t>
            </w:r>
          </w:p>
          <w:p w14:paraId="374FDB52" w14:textId="4AA313C5" w:rsidR="00C757ED" w:rsidRPr="00791EA7" w:rsidRDefault="00C757ED" w:rsidP="005F6CF3">
            <w:pPr>
              <w:pStyle w:val="Bullet3"/>
              <w:rPr>
                <w:lang w:val="nl-BE"/>
              </w:rPr>
            </w:pPr>
            <w:r w:rsidRPr="00791EA7">
              <w:rPr>
                <w:lang w:val="nl-BE"/>
              </w:rPr>
              <w:t xml:space="preserve">Concreet: maak dus voor bijvoorbeeld de onderhandelingsprocedure zonder voorafgaande bekendmaking niet enkel gebruik van </w:t>
            </w:r>
            <w:r w:rsidR="00791EA7" w:rsidRPr="00791EA7">
              <w:rPr>
                <w:lang w:val="nl-BE"/>
              </w:rPr>
              <w:t>e-</w:t>
            </w:r>
            <w:r w:rsidR="00791EA7">
              <w:rPr>
                <w:lang w:val="nl-BE"/>
              </w:rPr>
              <w:t>Procurement</w:t>
            </w:r>
            <w:r w:rsidRPr="00791EA7">
              <w:rPr>
                <w:lang w:val="nl-BE"/>
              </w:rPr>
              <w:t xml:space="preserve"> voor het ontvangen van offertes en om te voldoen aan bepaalde rapporteringsverplichtingen, maar maak eveneens </w:t>
            </w:r>
            <w:r w:rsidRPr="001A18AD">
              <w:rPr>
                <w:lang w:val="nl-BE"/>
              </w:rPr>
              <w:t>gebruik van onder meer de visitekaartjes ingevuld door ondernemingen (zie principe 2) en</w:t>
            </w:r>
            <w:r w:rsidRPr="00791EA7">
              <w:rPr>
                <w:lang w:val="nl-BE"/>
              </w:rPr>
              <w:t xml:space="preserve"> de mogelijkheid om de mededinging te garanderen (stimuleren) via een vrijwillige publicatie.  </w:t>
            </w:r>
          </w:p>
        </w:tc>
      </w:tr>
    </w:tbl>
    <w:p w14:paraId="4F9ED229" w14:textId="14D651B6" w:rsidR="005D4EB7" w:rsidRDefault="005D4EB7">
      <w:pPr>
        <w:pStyle w:val="Kop1"/>
      </w:pPr>
      <w:bookmarkStart w:id="181" w:name="_Toc132703179"/>
      <w:bookmarkStart w:id="182" w:name="_Toc135840007"/>
      <w:bookmarkStart w:id="183" w:name="_Toc150870612"/>
      <w:r>
        <w:t xml:space="preserve">Principe 11 – </w:t>
      </w:r>
      <w:bookmarkEnd w:id="181"/>
      <w:r w:rsidR="002A5B54" w:rsidRPr="002A5B54">
        <w:t xml:space="preserve">Terugkoppeling naar inschrijvers die </w:t>
      </w:r>
      <w:r w:rsidR="003201B0">
        <w:t>(</w:t>
      </w:r>
      <w:r w:rsidR="002A5B54" w:rsidRPr="002A5B54">
        <w:t>niet</w:t>
      </w:r>
      <w:r w:rsidR="003201B0">
        <w:t>)</w:t>
      </w:r>
      <w:r w:rsidR="002A5B54" w:rsidRPr="002A5B54">
        <w:t xml:space="preserve"> geselecteerd / </w:t>
      </w:r>
      <w:r w:rsidR="003201B0">
        <w:t>(</w:t>
      </w:r>
      <w:r w:rsidR="002A5B54" w:rsidRPr="002A5B54">
        <w:t>niet</w:t>
      </w:r>
      <w:r w:rsidR="003201B0">
        <w:t>)</w:t>
      </w:r>
      <w:r w:rsidR="002A5B54" w:rsidRPr="002A5B54">
        <w:t xml:space="preserve"> weerhouden zijn</w:t>
      </w:r>
      <w:bookmarkEnd w:id="182"/>
      <w:bookmarkEnd w:id="183"/>
    </w:p>
    <w:p w14:paraId="68380A41" w14:textId="2BBBB18D" w:rsidR="00196987" w:rsidRDefault="00196987" w:rsidP="00196987">
      <w:pPr>
        <w:pStyle w:val="Kop2"/>
      </w:pPr>
      <w:r>
        <w:t xml:space="preserve"> </w:t>
      </w:r>
      <w:bookmarkStart w:id="184" w:name="_Toc135840008"/>
      <w:bookmarkStart w:id="185" w:name="_Toc150870613"/>
      <w:r>
        <w:t>Doelstelling</w:t>
      </w:r>
      <w:bookmarkEnd w:id="184"/>
      <w:bookmarkEnd w:id="185"/>
    </w:p>
    <w:p w14:paraId="19AF01DE" w14:textId="2D61A983" w:rsidR="00891FBB" w:rsidRDefault="00891FBB" w:rsidP="00196987">
      <w:r w:rsidRPr="00D649ED">
        <w:rPr>
          <w:rFonts w:eastAsia="Lato" w:cs="Lato"/>
          <w:color w:val="000000" w:themeColor="text1"/>
          <w:lang w:val="nl"/>
        </w:rPr>
        <w:t>Aanvullend op het naleven van de reeds bestaande wettelijk verplichtingen over terugkoppeling naar de (niet-)geselecteerde kandidaten en (niet-)weerhouden inschrijvers</w:t>
      </w:r>
      <w:r>
        <w:rPr>
          <w:rFonts w:eastAsia="Lato" w:cs="Lato"/>
          <w:color w:val="000000" w:themeColor="text1"/>
          <w:lang w:val="nl"/>
        </w:rPr>
        <w:t xml:space="preserve"> toe</w:t>
      </w:r>
      <w:r w:rsidRPr="00D649ED">
        <w:rPr>
          <w:rFonts w:eastAsia="Lato" w:cs="Lato"/>
          <w:color w:val="000000" w:themeColor="text1"/>
          <w:lang w:val="nl"/>
        </w:rPr>
        <w:t xml:space="preserve">, </w:t>
      </w:r>
      <w:r w:rsidRPr="006364AB">
        <w:rPr>
          <w:rFonts w:eastAsia="Lato" w:cs="Lato"/>
          <w:b/>
          <w:bCs/>
          <w:color w:val="000000" w:themeColor="text1"/>
          <w:lang w:val="nl"/>
        </w:rPr>
        <w:t>eveneens</w:t>
      </w:r>
      <w:r w:rsidRPr="00D649ED">
        <w:rPr>
          <w:rFonts w:eastAsia="Lato" w:cs="Lato"/>
          <w:color w:val="000000" w:themeColor="text1"/>
          <w:lang w:val="nl"/>
        </w:rPr>
        <w:t xml:space="preserve"> spontaan en uitgebreid terugkoppelen </w:t>
      </w:r>
      <w:r w:rsidRPr="006364AB">
        <w:rPr>
          <w:rFonts w:eastAsia="Lato" w:cs="Lato"/>
          <w:b/>
          <w:bCs/>
          <w:color w:val="000000" w:themeColor="text1"/>
          <w:lang w:val="nl"/>
        </w:rPr>
        <w:t>bij overheidsopdrachten waar dat niet verplicht is</w:t>
      </w:r>
      <w:r w:rsidRPr="00D649ED">
        <w:rPr>
          <w:rFonts w:eastAsia="Lato" w:cs="Lato"/>
          <w:color w:val="000000" w:themeColor="text1"/>
          <w:lang w:val="nl"/>
        </w:rPr>
        <w:t xml:space="preserve">. Daarnaast moeten ondernemingen herinnerd worden aan hun recht om bepaalde motiveringen op te vragen en </w:t>
      </w:r>
      <w:r w:rsidR="00FF1E63">
        <w:rPr>
          <w:rFonts w:eastAsia="Lato" w:cs="Lato"/>
          <w:color w:val="000000" w:themeColor="text1"/>
          <w:lang w:val="nl"/>
        </w:rPr>
        <w:t xml:space="preserve">moeten zij </w:t>
      </w:r>
      <w:r w:rsidRPr="00D649ED">
        <w:rPr>
          <w:rFonts w:eastAsia="Lato" w:cs="Lato"/>
          <w:color w:val="000000" w:themeColor="text1"/>
          <w:lang w:val="nl"/>
        </w:rPr>
        <w:t xml:space="preserve">gestimuleerd worden om </w:t>
      </w:r>
      <w:r>
        <w:rPr>
          <w:rFonts w:eastAsia="Lato" w:cs="Lato"/>
          <w:color w:val="000000" w:themeColor="text1"/>
          <w:lang w:val="nl"/>
        </w:rPr>
        <w:t xml:space="preserve">daarvan </w:t>
      </w:r>
      <w:r w:rsidRPr="00D649ED">
        <w:rPr>
          <w:rFonts w:eastAsia="Lato" w:cs="Lato"/>
          <w:color w:val="000000" w:themeColor="text1"/>
          <w:lang w:val="nl"/>
        </w:rPr>
        <w:t>gebruik te maken</w:t>
      </w:r>
      <w:r w:rsidR="00F91145">
        <w:rPr>
          <w:rFonts w:eastAsia="Lato" w:cs="Lato"/>
          <w:color w:val="000000" w:themeColor="text1"/>
          <w:lang w:val="nl"/>
        </w:rPr>
        <w:t>.</w:t>
      </w:r>
    </w:p>
    <w:p w14:paraId="48EE4272" w14:textId="77777777" w:rsidR="00196987" w:rsidRDefault="00196987">
      <w:pPr>
        <w:pStyle w:val="Kop2"/>
      </w:pPr>
      <w:r>
        <w:t xml:space="preserve"> </w:t>
      </w:r>
      <w:bookmarkStart w:id="186" w:name="_Toc135840009"/>
      <w:bookmarkStart w:id="187" w:name="_Toc150870614"/>
      <w:r>
        <w:t>Wat zegt de reglementering overheidsopdrachten?</w:t>
      </w:r>
      <w:bookmarkEnd w:id="186"/>
      <w:bookmarkEnd w:id="187"/>
    </w:p>
    <w:p w14:paraId="4181E9CD" w14:textId="25088C1B" w:rsidR="00A2073C" w:rsidRPr="00D649ED" w:rsidRDefault="00A2073C" w:rsidP="00A2073C">
      <w:r w:rsidRPr="00D649ED">
        <w:rPr>
          <w:rFonts w:eastAsia="Lato" w:cs="Lato"/>
          <w:color w:val="000000" w:themeColor="text1"/>
          <w:lang w:val="nl"/>
        </w:rPr>
        <w:t xml:space="preserve">De </w:t>
      </w:r>
      <w:r w:rsidRPr="00BE0392">
        <w:rPr>
          <w:rFonts w:eastAsia="Lato" w:cs="Lato"/>
          <w:lang w:val="nl"/>
        </w:rPr>
        <w:t xml:space="preserve">wet van </w:t>
      </w:r>
      <w:hyperlink r:id="rId92" w:history="1">
        <w:r w:rsidR="007B388D" w:rsidRPr="00845FBA">
          <w:rPr>
            <w:rStyle w:val="Hyperlink"/>
            <w:rFonts w:eastAsia="Lato" w:cs="Lato"/>
            <w:lang w:val="nl"/>
          </w:rPr>
          <w:t>17 juni 2013</w:t>
        </w:r>
      </w:hyperlink>
      <w:r w:rsidRPr="00D649ED">
        <w:rPr>
          <w:rFonts w:eastAsia="Lato" w:cs="Lato"/>
          <w:color w:val="000000" w:themeColor="text1"/>
          <w:lang w:val="nl"/>
        </w:rPr>
        <w:t xml:space="preserve"> betreffende de motivering, de informatie en de rechtsmiddelen inzake overheidsopdrachten, bepaalde opdrachten voor werken, leveringen en diensten en concessies</w:t>
      </w:r>
      <w:r w:rsidR="003E6C0E">
        <w:rPr>
          <w:rFonts w:eastAsia="Lato" w:cs="Lato"/>
          <w:color w:val="000000" w:themeColor="text1"/>
          <w:lang w:val="nl"/>
        </w:rPr>
        <w:t>,</w:t>
      </w:r>
      <w:r w:rsidRPr="00D649ED">
        <w:rPr>
          <w:rFonts w:eastAsia="Lato" w:cs="Lato"/>
          <w:color w:val="000000" w:themeColor="text1"/>
          <w:lang w:val="nl"/>
        </w:rPr>
        <w:t xml:space="preserve"> </w:t>
      </w:r>
      <w:r w:rsidRPr="00D649ED">
        <w:rPr>
          <w:rFonts w:eastAsia="Lato" w:cs="Lato"/>
          <w:color w:val="000000" w:themeColor="text1"/>
          <w:lang w:val="nl"/>
        </w:rPr>
        <w:lastRenderedPageBreak/>
        <w:t>legt de regels vast omtrent de mee te delen informatie, in alle fasen van een plaatsingsprocedure, door de aanbestedende overheden ten aanzien van de deelnemers, kandidaten en inschrijvers.</w:t>
      </w:r>
    </w:p>
    <w:p w14:paraId="21A35DF8" w14:textId="77777777" w:rsidR="00A2073C" w:rsidRPr="00D649ED" w:rsidRDefault="00A2073C" w:rsidP="00A2073C">
      <w:r w:rsidRPr="00D649ED">
        <w:rPr>
          <w:rFonts w:eastAsia="Lato" w:cs="Lato"/>
          <w:color w:val="000000" w:themeColor="text1"/>
          <w:lang w:val="nl"/>
        </w:rPr>
        <w:t>Informeren gebeurt tijdens de plaatsingsprocedure op verschillende momenten, afhankelijk van  de gekozen procedure: bij het nemen van de gemotiveerde selectiebeslissing, de gemotiveerde kwalificatiebeslissing, de gemotiveerde beslissing over de keuze van de deelnemers, de gemotiveerde gunningsbeslissing en de beslissing om af te zien van het plaatsen van de opdracht.</w:t>
      </w:r>
    </w:p>
    <w:p w14:paraId="4C34529D" w14:textId="2ACE7F6E" w:rsidR="00A2073C" w:rsidRPr="00D649ED" w:rsidRDefault="00A2073C" w:rsidP="00A2073C">
      <w:r w:rsidRPr="00D649ED">
        <w:rPr>
          <w:rFonts w:eastAsia="Lato" w:cs="Lato"/>
          <w:color w:val="000000" w:themeColor="text1"/>
          <w:lang w:val="nl"/>
        </w:rPr>
        <w:t xml:space="preserve">Met betrekking tot de terugkoppeling </w:t>
      </w:r>
      <w:r w:rsidR="00D429E6">
        <w:rPr>
          <w:rFonts w:eastAsia="Lato" w:cs="Lato"/>
          <w:color w:val="000000" w:themeColor="text1"/>
          <w:lang w:val="nl"/>
        </w:rPr>
        <w:t>–</w:t>
      </w:r>
      <w:r w:rsidRPr="00D649ED">
        <w:rPr>
          <w:rFonts w:eastAsia="Lato" w:cs="Lato"/>
          <w:color w:val="000000" w:themeColor="text1"/>
          <w:lang w:val="nl"/>
        </w:rPr>
        <w:t xml:space="preserve"> naar (niet-)geselecteerde kandidaten, (niet-)gekozen inschrijvers en (niet-)toegelaten deelnemers – zijn, omtrent de door de </w:t>
      </w:r>
      <w:r w:rsidR="00537D9A">
        <w:rPr>
          <w:rFonts w:eastAsia="Lato" w:cs="Lato"/>
          <w:color w:val="000000" w:themeColor="text1"/>
          <w:lang w:val="nl"/>
        </w:rPr>
        <w:t>aanbesteders</w:t>
      </w:r>
      <w:r w:rsidRPr="00D649ED">
        <w:rPr>
          <w:rFonts w:eastAsia="Lato" w:cs="Lato"/>
          <w:color w:val="000000" w:themeColor="text1"/>
          <w:lang w:val="nl"/>
        </w:rPr>
        <w:t xml:space="preserve"> genomen beslissingen en de resultaten van een plaatsingsprocedure, naar toepassingsgebied te onderscheiden:</w:t>
      </w:r>
    </w:p>
    <w:p w14:paraId="0E523598" w14:textId="77777777" w:rsidR="00A2073C" w:rsidRPr="00300053" w:rsidRDefault="00A2073C" w:rsidP="00A2073C">
      <w:pPr>
        <w:pStyle w:val="Bullet1"/>
        <w:rPr>
          <w:lang w:val="nl-BE"/>
        </w:rPr>
      </w:pPr>
      <w:r w:rsidRPr="00300053">
        <w:rPr>
          <w:lang w:val="nl-BE"/>
        </w:rPr>
        <w:t>opdrachten die de Europese bekendmakingsdrempels bereiken;</w:t>
      </w:r>
    </w:p>
    <w:p w14:paraId="02DEB28F" w14:textId="77777777" w:rsidR="00A2073C" w:rsidRPr="00300053" w:rsidRDefault="00A2073C" w:rsidP="00A2073C">
      <w:pPr>
        <w:pStyle w:val="Bullet1"/>
        <w:rPr>
          <w:lang w:val="nl-BE"/>
        </w:rPr>
      </w:pPr>
      <w:r w:rsidRPr="00300053">
        <w:rPr>
          <w:lang w:val="nl-BE"/>
        </w:rPr>
        <w:t>opdrachten die de Europese bekendmakingsdrempels niet bereiken, waarbij wordt onderscheiden:</w:t>
      </w:r>
    </w:p>
    <w:p w14:paraId="3474BD1D" w14:textId="5953425A" w:rsidR="00A2073C" w:rsidRPr="00300053" w:rsidRDefault="00A2073C" w:rsidP="00A2073C">
      <w:pPr>
        <w:pStyle w:val="Bullet3"/>
        <w:rPr>
          <w:lang w:val="nl-BE"/>
        </w:rPr>
      </w:pPr>
      <w:r w:rsidRPr="00300053">
        <w:rPr>
          <w:lang w:val="nl-BE"/>
        </w:rPr>
        <w:t xml:space="preserve">de opdrachten met een geraamde waarde onder die Europese drempels, maar waar de </w:t>
      </w:r>
      <w:r w:rsidRPr="00300053">
        <w:rPr>
          <w:b/>
          <w:bCs/>
          <w:lang w:val="nl-BE"/>
        </w:rPr>
        <w:t>goed te keuren uitgave</w:t>
      </w:r>
      <w:r w:rsidRPr="00300053">
        <w:rPr>
          <w:lang w:val="nl-BE"/>
        </w:rPr>
        <w:t xml:space="preserve"> groter is dan die Europese drempels en dat met minstens 20</w:t>
      </w:r>
      <w:r w:rsidR="00F7357D">
        <w:rPr>
          <w:lang w:val="nl-BE"/>
        </w:rPr>
        <w:t> </w:t>
      </w:r>
      <w:r w:rsidRPr="00300053">
        <w:rPr>
          <w:lang w:val="nl-BE"/>
        </w:rPr>
        <w:t>%;</w:t>
      </w:r>
    </w:p>
    <w:p w14:paraId="7D87DEF8" w14:textId="69FEBD76" w:rsidR="00A2073C" w:rsidRPr="00300053" w:rsidRDefault="00A2073C" w:rsidP="00A2073C">
      <w:pPr>
        <w:pStyle w:val="Bullet3"/>
        <w:rPr>
          <w:lang w:val="nl-BE"/>
        </w:rPr>
      </w:pPr>
      <w:r w:rsidRPr="00300053">
        <w:rPr>
          <w:lang w:val="nl-BE"/>
        </w:rPr>
        <w:t xml:space="preserve">de opdrachten met een geraamde waarde onder die Europese drempels en een </w:t>
      </w:r>
      <w:r w:rsidRPr="00300053">
        <w:rPr>
          <w:b/>
          <w:bCs/>
          <w:lang w:val="nl-BE"/>
        </w:rPr>
        <w:t>goed te keuren uitgave</w:t>
      </w:r>
      <w:r w:rsidRPr="00300053">
        <w:rPr>
          <w:lang w:val="nl-BE"/>
        </w:rPr>
        <w:t xml:space="preserve"> groter dan 140.000 euro, maar waar die uitgave die Europese drempel niet overschrijdt met 20</w:t>
      </w:r>
      <w:r w:rsidR="00F7357D">
        <w:rPr>
          <w:lang w:val="nl-BE"/>
        </w:rPr>
        <w:t> </w:t>
      </w:r>
      <w:r w:rsidRPr="00300053">
        <w:rPr>
          <w:lang w:val="nl-BE"/>
        </w:rPr>
        <w:t>%;</w:t>
      </w:r>
    </w:p>
    <w:p w14:paraId="6081D457" w14:textId="77777777" w:rsidR="00A2073C" w:rsidRPr="00300053" w:rsidRDefault="00A2073C" w:rsidP="00A2073C">
      <w:pPr>
        <w:pStyle w:val="Bullet3"/>
        <w:rPr>
          <w:lang w:val="nl-BE"/>
        </w:rPr>
      </w:pPr>
      <w:r w:rsidRPr="00300053">
        <w:rPr>
          <w:b/>
          <w:bCs/>
          <w:lang w:val="nl-BE"/>
        </w:rPr>
        <w:t>opdrachten met een goed te keuren uitgave die</w:t>
      </w:r>
      <w:r w:rsidRPr="00300053">
        <w:rPr>
          <w:lang w:val="nl-BE"/>
        </w:rPr>
        <w:t xml:space="preserve"> niet groter is dan 140.000 euro; en</w:t>
      </w:r>
    </w:p>
    <w:p w14:paraId="4A9DDEB7" w14:textId="5FF57689" w:rsidR="00C26D62" w:rsidRDefault="00A2073C" w:rsidP="00C26D62">
      <w:pPr>
        <w:pStyle w:val="Bullet3"/>
        <w:rPr>
          <w:lang w:val="nl-BE"/>
        </w:rPr>
      </w:pPr>
      <w:r w:rsidRPr="00827654">
        <w:rPr>
          <w:lang w:val="nl-BE"/>
        </w:rPr>
        <w:t>opdrachten met een beperkte waarde.</w:t>
      </w:r>
      <w:r w:rsidR="00827654" w:rsidRPr="00827654">
        <w:rPr>
          <w:lang w:val="nl-BE"/>
        </w:rPr>
        <w:t xml:space="preserve"> </w:t>
      </w:r>
    </w:p>
    <w:p w14:paraId="138E8F73" w14:textId="77777777" w:rsidR="00C26D62" w:rsidRDefault="00C26D62" w:rsidP="00C26D62"/>
    <w:tbl>
      <w:tblPr>
        <w:tblStyle w:val="Tabelraster"/>
        <w:tblW w:w="5000" w:type="pct"/>
        <w:tblBorders>
          <w:insideH w:val="none" w:sz="0" w:space="0" w:color="auto"/>
        </w:tblBorders>
        <w:shd w:val="clear" w:color="auto" w:fill="FFF2CC" w:themeFill="accent4" w:themeFillTint="33"/>
        <w:tblLook w:val="04A0" w:firstRow="1" w:lastRow="0" w:firstColumn="1" w:lastColumn="0" w:noHBand="0" w:noVBand="1"/>
      </w:tblPr>
      <w:tblGrid>
        <w:gridCol w:w="8494"/>
      </w:tblGrid>
      <w:tr w:rsidR="00C26D62" w:rsidRPr="00CB7F27" w14:paraId="4FAE8E0F" w14:textId="77777777">
        <w:tc>
          <w:tcPr>
            <w:tcW w:w="5000" w:type="pct"/>
            <w:shd w:val="clear" w:color="auto" w:fill="FFF2CC" w:themeFill="accent4" w:themeFillTint="33"/>
          </w:tcPr>
          <w:p w14:paraId="1C3C484E" w14:textId="77777777" w:rsidR="00C26D62" w:rsidRPr="00CB7F27" w:rsidRDefault="00C26D62">
            <w:pPr>
              <w:rPr>
                <w:b/>
                <w:bCs/>
                <w:i/>
                <w:iCs/>
              </w:rPr>
            </w:pPr>
            <w:r w:rsidRPr="008B55A0">
              <w:rPr>
                <w:b/>
                <w:bCs/>
                <w:i/>
                <w:iCs/>
              </w:rPr>
              <w:t>Toekomstig recht</w:t>
            </w:r>
          </w:p>
        </w:tc>
      </w:tr>
      <w:tr w:rsidR="00C26D62" w:rsidRPr="00CA7A8C" w14:paraId="3F616314" w14:textId="77777777">
        <w:trPr>
          <w:trHeight w:val="845"/>
        </w:trPr>
        <w:tc>
          <w:tcPr>
            <w:tcW w:w="5000" w:type="pct"/>
            <w:shd w:val="clear" w:color="auto" w:fill="FFF2CC" w:themeFill="accent4" w:themeFillTint="33"/>
          </w:tcPr>
          <w:p w14:paraId="18428466" w14:textId="12D16116" w:rsidR="00C26D62" w:rsidRDefault="00C26D62">
            <w:r>
              <w:t>V</w:t>
            </w:r>
            <w:r w:rsidRPr="00CA7A8C">
              <w:t xml:space="preserve">ia een update van </w:t>
            </w:r>
            <w:r w:rsidRPr="00C10DC9">
              <w:t>de</w:t>
            </w:r>
            <w:r>
              <w:t xml:space="preserve"> wet overheidsopdrachten wordt voorzien</w:t>
            </w:r>
            <w:r w:rsidRPr="00CA7A8C">
              <w:t xml:space="preserve"> in een </w:t>
            </w:r>
            <w:r>
              <w:t xml:space="preserve">nieuw </w:t>
            </w:r>
            <w:r w:rsidR="008369F8">
              <w:t>“</w:t>
            </w:r>
            <w:r w:rsidR="007D4DFF">
              <w:t>voorlopig klassement”</w:t>
            </w:r>
            <w:r w:rsidRPr="00CA7A8C">
              <w:t xml:space="preserve">. De publicatie van de nieuwe wetgeving </w:t>
            </w:r>
            <w:r>
              <w:t>staat</w:t>
            </w:r>
            <w:r w:rsidRPr="00CA7A8C">
              <w:t xml:space="preserve"> momenteel </w:t>
            </w:r>
            <w:r>
              <w:t>gepland</w:t>
            </w:r>
            <w:r w:rsidRPr="00CA7A8C">
              <w:t xml:space="preserve"> voor </w:t>
            </w:r>
            <w:r w:rsidR="0039197F">
              <w:t>eind 2023, begin</w:t>
            </w:r>
            <w:r w:rsidRPr="00CA7A8C">
              <w:t xml:space="preserve"> 202</w:t>
            </w:r>
            <w:r>
              <w:t>4</w:t>
            </w:r>
            <w:r w:rsidRPr="00CA7A8C">
              <w:t>.</w:t>
            </w:r>
          </w:p>
          <w:p w14:paraId="5CA7353A" w14:textId="4C5BA577" w:rsidR="007D4DFF" w:rsidRDefault="007D4DFF" w:rsidP="007D4DFF">
            <w:r>
              <w:t xml:space="preserve">Om ondernemingen het makkelijker te maken om hun planning op te stellen en in het kader van transparantie, wordt de aanbesteder vanaf 1 juni 2024 in bepaalde gevallen verplicht om reeds onmiddellijk na de opening van de offertes minimale informatie mee te delen aan elke inschrijver. Het gaat om diens individuele plaats in het </w:t>
            </w:r>
            <w:r w:rsidRPr="0031791D">
              <w:rPr>
                <w:b/>
                <w:bCs/>
              </w:rPr>
              <w:t>voorlopige</w:t>
            </w:r>
            <w:r>
              <w:t xml:space="preserve"> klassement. De namen en de plaats van de andere inschrijvers worden niet doorgegeven. </w:t>
            </w:r>
          </w:p>
          <w:p w14:paraId="010D1E96" w14:textId="59A9CF9B" w:rsidR="007D4DFF" w:rsidRDefault="007D4DFF" w:rsidP="007D4DFF">
            <w:r>
              <w:t>Het voorlopige klassement wordt ingevoerd voor opdrachten die enkel de prijs gebruiken als gunningscriterium, zich onder de Europese bekendmakingsdrempels bevinden en geplaatst worden door middel van een openbare of niet-openbare procedure.</w:t>
            </w:r>
          </w:p>
          <w:p w14:paraId="4ADDF088" w14:textId="77777777" w:rsidR="00C26D62" w:rsidRPr="00CA7A8C" w:rsidRDefault="00C26D62">
            <w:r w:rsidRPr="00CA7A8C">
              <w:rPr>
                <w:i/>
                <w:iCs/>
              </w:rPr>
              <w:t>Dit deel van het charter wordt door de FOD Economie van een update voorzien van zodra nieuwe informatie beschikbaar is en/of nieuwe wetgeving gepubliceerd werd in het Belgisch Staatsblad</w:t>
            </w:r>
            <w:r>
              <w:rPr>
                <w:i/>
                <w:iCs/>
              </w:rPr>
              <w:t>.</w:t>
            </w:r>
          </w:p>
        </w:tc>
      </w:tr>
    </w:tbl>
    <w:p w14:paraId="4F4A6821" w14:textId="77777777" w:rsidR="00196987" w:rsidRDefault="00196987">
      <w:pPr>
        <w:pStyle w:val="Kop2"/>
      </w:pPr>
      <w:r>
        <w:t xml:space="preserve"> </w:t>
      </w:r>
      <w:bookmarkStart w:id="188" w:name="_Toc135840010"/>
      <w:bookmarkStart w:id="189" w:name="_Toc150870615"/>
      <w:r>
        <w:t>Toelichting</w:t>
      </w:r>
      <w:bookmarkEnd w:id="188"/>
      <w:bookmarkEnd w:id="189"/>
    </w:p>
    <w:p w14:paraId="05B9ABE2" w14:textId="77777777" w:rsidR="00827654" w:rsidRPr="00D649ED" w:rsidRDefault="00827654" w:rsidP="00827654">
      <w:pPr>
        <w:rPr>
          <w:rFonts w:eastAsia="Lato" w:cs="Lato"/>
          <w:color w:val="000000" w:themeColor="text1"/>
          <w:lang w:val="nl"/>
        </w:rPr>
      </w:pPr>
      <w:r w:rsidRPr="00D649ED">
        <w:rPr>
          <w:rFonts w:eastAsia="Lato" w:cs="Lato"/>
          <w:color w:val="000000" w:themeColor="text1"/>
          <w:lang w:val="nl"/>
        </w:rPr>
        <w:t>Op basis van de terugkoppeling (“feedback”) van aanbesteder naar onderneming, kan een onderneming de kwaliteit van haar kandidatuur of offerte verbeteren voor toekomstige overheidsopdrachten, iets wat de aanbesteder</w:t>
      </w:r>
      <w:r>
        <w:rPr>
          <w:rFonts w:eastAsia="Lato" w:cs="Lato"/>
          <w:color w:val="000000" w:themeColor="text1"/>
          <w:lang w:val="nl"/>
        </w:rPr>
        <w:t xml:space="preserve"> en de onderneming</w:t>
      </w:r>
      <w:r w:rsidRPr="00D649ED">
        <w:rPr>
          <w:rFonts w:eastAsia="Lato" w:cs="Lato"/>
          <w:color w:val="000000" w:themeColor="text1"/>
          <w:lang w:val="nl"/>
        </w:rPr>
        <w:t xml:space="preserve"> alleen maar voordelen oplevert. De terugkoppeling naar ondernemingen die (niet) geselecteerd of weerhouden zijn, is dan ook één van de meest nuttige types informatie die een onderneming kan ontvangen.</w:t>
      </w:r>
    </w:p>
    <w:p w14:paraId="08E80E7B" w14:textId="77777777" w:rsidR="00827654" w:rsidRPr="00D649ED" w:rsidRDefault="00827654" w:rsidP="00827654">
      <w:pPr>
        <w:rPr>
          <w:rFonts w:eastAsia="Lato" w:cs="Lato"/>
          <w:color w:val="000000" w:themeColor="text1"/>
          <w:lang w:val="nl"/>
        </w:rPr>
      </w:pPr>
      <w:r w:rsidRPr="00D649ED">
        <w:rPr>
          <w:rFonts w:eastAsia="Lato" w:cs="Lato"/>
          <w:color w:val="000000" w:themeColor="text1"/>
          <w:lang w:val="nl"/>
        </w:rPr>
        <w:t>We hernemen in wat volgt enkele van de belangrijkste</w:t>
      </w:r>
      <w:r>
        <w:rPr>
          <w:rFonts w:eastAsia="Lato" w:cs="Lato"/>
          <w:color w:val="000000" w:themeColor="text1"/>
          <w:lang w:val="nl"/>
        </w:rPr>
        <w:t xml:space="preserve"> wettelijke</w:t>
      </w:r>
      <w:r w:rsidRPr="00D649ED">
        <w:rPr>
          <w:rFonts w:eastAsia="Lato" w:cs="Lato"/>
          <w:color w:val="000000" w:themeColor="text1"/>
          <w:lang w:val="nl"/>
        </w:rPr>
        <w:t xml:space="preserve"> bepalingen over dat onderwerp.</w:t>
      </w:r>
    </w:p>
    <w:p w14:paraId="49802F51" w14:textId="57EA949A" w:rsidR="00827654" w:rsidRPr="00D649ED" w:rsidRDefault="00A469D3" w:rsidP="00A469D3">
      <w:pPr>
        <w:pStyle w:val="Kop3"/>
        <w:rPr>
          <w:rFonts w:eastAsia="Lato"/>
          <w:lang w:val="nl"/>
        </w:rPr>
      </w:pPr>
      <w:r>
        <w:rPr>
          <w:rFonts w:eastAsia="Lato"/>
          <w:lang w:val="nl"/>
        </w:rPr>
        <w:t xml:space="preserve"> </w:t>
      </w:r>
      <w:bookmarkStart w:id="190" w:name="_Toc135840011"/>
      <w:bookmarkStart w:id="191" w:name="_Toc150870616"/>
      <w:r>
        <w:rPr>
          <w:rFonts w:eastAsia="Lato"/>
          <w:lang w:val="nl"/>
        </w:rPr>
        <w:t>De verplicht mee te delen informatie</w:t>
      </w:r>
      <w:bookmarkEnd w:id="190"/>
      <w:bookmarkEnd w:id="191"/>
      <w:r>
        <w:rPr>
          <w:rFonts w:eastAsia="Lato"/>
          <w:lang w:val="nl"/>
        </w:rPr>
        <w:t xml:space="preserve"> </w:t>
      </w:r>
      <w:r w:rsidR="00827654" w:rsidRPr="00D649ED">
        <w:rPr>
          <w:rFonts w:eastAsia="Lato"/>
          <w:lang w:val="nl"/>
        </w:rPr>
        <w:t xml:space="preserve"> </w:t>
      </w:r>
    </w:p>
    <w:p w14:paraId="14191AF8" w14:textId="3176B68F" w:rsidR="00827654" w:rsidRPr="00D649ED" w:rsidRDefault="00827654" w:rsidP="00A469D3">
      <w:pPr>
        <w:rPr>
          <w:rFonts w:eastAsia="Lato" w:cs="Lato"/>
          <w:color w:val="000000" w:themeColor="text1"/>
          <w:lang w:val="nl"/>
        </w:rPr>
      </w:pPr>
      <w:r w:rsidRPr="00D649ED">
        <w:rPr>
          <w:rFonts w:eastAsia="Lato" w:cs="Lato"/>
          <w:color w:val="000000" w:themeColor="text1"/>
          <w:lang w:val="nl"/>
        </w:rPr>
        <w:t>De verplicht mee te delen informatie</w:t>
      </w:r>
      <w:r w:rsidR="00D5069D">
        <w:rPr>
          <w:rFonts w:eastAsia="Lato" w:cs="Lato"/>
          <w:color w:val="000000" w:themeColor="text1"/>
          <w:lang w:val="nl"/>
        </w:rPr>
        <w:t xml:space="preserve"> aan</w:t>
      </w:r>
      <w:r w:rsidRPr="00D649ED">
        <w:rPr>
          <w:rFonts w:eastAsia="Lato" w:cs="Lato"/>
          <w:color w:val="000000" w:themeColor="text1"/>
          <w:lang w:val="nl"/>
        </w:rPr>
        <w:t xml:space="preserve"> de deelnemers, kandidaten en inschrijvers én de inhoud ervan verschilt </w:t>
      </w:r>
      <w:r w:rsidRPr="000C6DE8">
        <w:rPr>
          <w:rFonts w:eastAsia="Lato" w:cs="Lato"/>
          <w:b/>
          <w:bCs/>
          <w:color w:val="000000" w:themeColor="text1"/>
          <w:lang w:val="nl"/>
        </w:rPr>
        <w:t>naargelang de drempel en/of goed te keuren uitgave</w:t>
      </w:r>
      <w:r w:rsidRPr="00D649ED">
        <w:rPr>
          <w:rFonts w:eastAsia="Lato" w:cs="Lato"/>
          <w:color w:val="000000" w:themeColor="text1"/>
          <w:lang w:val="nl"/>
        </w:rPr>
        <w:t xml:space="preserve"> van de opdracht.</w:t>
      </w:r>
    </w:p>
    <w:p w14:paraId="222C647A" w14:textId="27FBC709" w:rsidR="00827654" w:rsidRPr="00D649ED" w:rsidRDefault="00827654" w:rsidP="00827654">
      <w:pPr>
        <w:rPr>
          <w:rFonts w:eastAsia="Lato" w:cs="Lato"/>
          <w:color w:val="000000" w:themeColor="text1"/>
          <w:lang w:val="nl"/>
        </w:rPr>
      </w:pPr>
      <w:r w:rsidRPr="00D649ED">
        <w:rPr>
          <w:rFonts w:eastAsia="Lato" w:cs="Lato"/>
          <w:color w:val="000000" w:themeColor="text1"/>
          <w:lang w:val="nl"/>
        </w:rPr>
        <w:t xml:space="preserve">Voor opdrachten die de </w:t>
      </w:r>
      <w:r w:rsidRPr="006752B0">
        <w:rPr>
          <w:rFonts w:eastAsia="Lato" w:cs="Lato"/>
          <w:b/>
          <w:bCs/>
          <w:color w:val="0070C0"/>
          <w:lang w:val="nl"/>
        </w:rPr>
        <w:t>Europese drempels bereiken</w:t>
      </w:r>
      <w:r w:rsidRPr="006752B0">
        <w:rPr>
          <w:rFonts w:eastAsia="Lato" w:cs="Lato"/>
          <w:color w:val="0070C0"/>
          <w:lang w:val="nl"/>
        </w:rPr>
        <w:t xml:space="preserve"> </w:t>
      </w:r>
      <w:r w:rsidRPr="00D649ED">
        <w:rPr>
          <w:rFonts w:eastAsia="Lato" w:cs="Lato"/>
          <w:color w:val="000000" w:themeColor="text1"/>
          <w:lang w:val="nl"/>
        </w:rPr>
        <w:t xml:space="preserve">is de aanbestedende overheid verplicht, </w:t>
      </w:r>
    </w:p>
    <w:p w14:paraId="1C1761A2" w14:textId="77777777" w:rsidR="00827654" w:rsidRPr="00F37B5B" w:rsidRDefault="00827654">
      <w:pPr>
        <w:pStyle w:val="Lijstnummering"/>
        <w:numPr>
          <w:ilvl w:val="0"/>
          <w:numId w:val="13"/>
        </w:numPr>
        <w:rPr>
          <w:rFonts w:eastAsia="Lato"/>
          <w:lang w:val="nl"/>
        </w:rPr>
      </w:pPr>
      <w:r w:rsidRPr="00F37B5B">
        <w:rPr>
          <w:rFonts w:eastAsia="Lato"/>
        </w:rPr>
        <w:t xml:space="preserve">onmiddellijk, na het nemen van de gemotiveerde selectie- of kwalificatiebeslissing, respectievelijk de niet-geselecteerde of niet-gekwalificeerde kandidaten te informeren </w:t>
      </w:r>
      <w:r w:rsidRPr="00F37B5B">
        <w:rPr>
          <w:rFonts w:eastAsia="Lato"/>
        </w:rPr>
        <w:lastRenderedPageBreak/>
        <w:t>omtrent hun niet-selectie of niet-kwalificatie, waarbij telkens de motieven hiervoor worden toegevoegd;</w:t>
      </w:r>
    </w:p>
    <w:p w14:paraId="48093800" w14:textId="77777777" w:rsidR="00827654" w:rsidRPr="00F37B5B" w:rsidRDefault="00827654">
      <w:pPr>
        <w:pStyle w:val="Lijstnummering"/>
        <w:numPr>
          <w:ilvl w:val="0"/>
          <w:numId w:val="13"/>
        </w:numPr>
        <w:rPr>
          <w:rFonts w:eastAsia="Lato"/>
          <w:lang w:val="nl"/>
        </w:rPr>
      </w:pPr>
      <w:r w:rsidRPr="00F37B5B">
        <w:rPr>
          <w:rFonts w:eastAsia="Lato"/>
        </w:rPr>
        <w:t>onmiddellijk, na het nemen van de gemotiveerde gunningsbeslissing, de inschrijvers van wie de offerte niet is gekozen en de gekozen inschrijver, de gemotiveerde gunningsbeslissing mee te delen. De inschrijver(s) van wie de offerte onregelmatig of niet-conform is bevonden, worden geïnformeerd onder de vorm van een uittreksel van de gemotiveerde gunningsbeslissing over de motieven voor hun wering;</w:t>
      </w:r>
    </w:p>
    <w:p w14:paraId="24B64207" w14:textId="77777777" w:rsidR="00827654" w:rsidRPr="00F37B5B" w:rsidRDefault="00827654">
      <w:pPr>
        <w:pStyle w:val="Lijstnummering"/>
        <w:numPr>
          <w:ilvl w:val="0"/>
          <w:numId w:val="13"/>
        </w:numPr>
        <w:rPr>
          <w:rFonts w:eastAsia="Lato"/>
          <w:lang w:val="nl"/>
        </w:rPr>
      </w:pPr>
      <w:r w:rsidRPr="00F37B5B">
        <w:rPr>
          <w:rFonts w:eastAsia="Lato"/>
        </w:rPr>
        <w:t>onmiddellijk, na het nemen van de beslissing om af te zien van het plaatsen van de opdracht en – in voorkomend geval – een nieuwe plaatsingsprocedure uit te schrijven, de gemotiveerde beslissing mee te delen aan de betrokken kandidaten, deelnemers en inschrijvers.</w:t>
      </w:r>
    </w:p>
    <w:p w14:paraId="197FC211" w14:textId="5FF9D053" w:rsidR="00827654" w:rsidRPr="00D649ED" w:rsidRDefault="00827654" w:rsidP="00643D7B">
      <w:pPr>
        <w:rPr>
          <w:lang w:val="nl"/>
        </w:rPr>
      </w:pPr>
      <w:r w:rsidRPr="00D649ED">
        <w:rPr>
          <w:lang w:val="nl"/>
        </w:rPr>
        <w:t xml:space="preserve">De </w:t>
      </w:r>
      <w:r w:rsidR="00886891">
        <w:rPr>
          <w:lang w:val="nl"/>
        </w:rPr>
        <w:t>aanbesteder</w:t>
      </w:r>
      <w:r w:rsidRPr="00D649ED">
        <w:rPr>
          <w:lang w:val="nl"/>
        </w:rPr>
        <w:t xml:space="preserve"> is verplicht </w:t>
      </w:r>
      <w:r w:rsidR="00492A3B">
        <w:rPr>
          <w:lang w:val="nl"/>
        </w:rPr>
        <w:t xml:space="preserve">om </w:t>
      </w:r>
      <w:r w:rsidRPr="00D649ED">
        <w:rPr>
          <w:lang w:val="nl"/>
        </w:rPr>
        <w:t xml:space="preserve">een wachttermijn te respecteren van vijftien dagen volgend op de verzending van de mededeling </w:t>
      </w:r>
      <w:r w:rsidR="00492A3B">
        <w:rPr>
          <w:lang w:val="nl"/>
        </w:rPr>
        <w:t>–</w:t>
      </w:r>
      <w:r w:rsidRPr="00D649ED">
        <w:rPr>
          <w:lang w:val="nl"/>
        </w:rPr>
        <w:t xml:space="preserve"> van de gemotiveerde beslissing aan de betrokken kandidaten, deelnemers en inschrijvers </w:t>
      </w:r>
      <w:r w:rsidR="00492A3B">
        <w:rPr>
          <w:lang w:val="nl"/>
        </w:rPr>
        <w:t>–</w:t>
      </w:r>
      <w:r w:rsidRPr="00D649ED">
        <w:rPr>
          <w:lang w:val="nl"/>
        </w:rPr>
        <w:t xml:space="preserve"> vooraleer de sluiting van de opdracht mag plaatsvinden.</w:t>
      </w:r>
    </w:p>
    <w:p w14:paraId="7F1DEC2D" w14:textId="77777777" w:rsidR="009859D8" w:rsidRPr="001A18AD" w:rsidRDefault="009859D8" w:rsidP="009859D8">
      <w:pPr>
        <w:rPr>
          <w:rFonts w:eastAsia="Lato" w:cs="Lato"/>
          <w:color w:val="000000" w:themeColor="text1"/>
          <w:lang w:val="nl"/>
        </w:rPr>
      </w:pPr>
      <w:r w:rsidRPr="00D649ED">
        <w:rPr>
          <w:rFonts w:eastAsia="Lato" w:cs="Lato"/>
          <w:color w:val="000000" w:themeColor="text1"/>
          <w:lang w:val="nl"/>
        </w:rPr>
        <w:t>Om een sanctie ter on</w:t>
      </w:r>
      <w:r>
        <w:rPr>
          <w:rFonts w:eastAsia="Lato" w:cs="Lato"/>
          <w:color w:val="000000" w:themeColor="text1"/>
          <w:lang w:val="nl"/>
        </w:rPr>
        <w:t>ver</w:t>
      </w:r>
      <w:r w:rsidRPr="00D649ED">
        <w:rPr>
          <w:rFonts w:eastAsia="Lato" w:cs="Lato"/>
          <w:color w:val="000000" w:themeColor="text1"/>
          <w:lang w:val="nl"/>
        </w:rPr>
        <w:t xml:space="preserve">bindendverklaring te voorkomen bij opdrachten met een geraamde </w:t>
      </w:r>
      <w:r w:rsidRPr="001A18AD">
        <w:rPr>
          <w:rFonts w:eastAsia="Lato" w:cs="Lato"/>
          <w:color w:val="000000" w:themeColor="text1"/>
          <w:lang w:val="nl"/>
        </w:rPr>
        <w:t>waarde vanaf de Europese drempel, maar waar de aanbesteder van oordeel is dat het plaatsen van de opdracht zonder bekendmaking op Europees niveau van een aankondiging van opdracht toegestaan is op grond van de bepalingen van de wetgeving overheidsopdrachten, kan de aanbestedende overheid overgaan tot een aankondiging als vrijwillige transparantie exante. Dat kan een onverbindendverklaring voorkomen.</w:t>
      </w:r>
    </w:p>
    <w:p w14:paraId="1FF45D29" w14:textId="23D20E52" w:rsidR="005E33CB" w:rsidRPr="001A18AD" w:rsidRDefault="005E33CB" w:rsidP="005E33CB">
      <w:pPr>
        <w:rPr>
          <w:rFonts w:eastAsia="Lato" w:cs="Lato"/>
          <w:color w:val="000000" w:themeColor="text1"/>
          <w:lang w:val="nl"/>
        </w:rPr>
      </w:pPr>
      <w:r w:rsidRPr="001A18AD">
        <w:rPr>
          <w:rFonts w:eastAsia="Lato" w:cs="Lato"/>
          <w:color w:val="000000" w:themeColor="text1"/>
          <w:lang w:val="nl"/>
        </w:rPr>
        <w:t xml:space="preserve">Voor opdrachten die de </w:t>
      </w:r>
      <w:r w:rsidRPr="006752B0">
        <w:rPr>
          <w:rFonts w:eastAsia="Lato" w:cs="Lato"/>
          <w:b/>
          <w:bCs/>
          <w:color w:val="0070C0"/>
          <w:lang w:val="nl"/>
        </w:rPr>
        <w:t>Europese drempels niet bereiken</w:t>
      </w:r>
      <w:r w:rsidRPr="006752B0">
        <w:rPr>
          <w:rFonts w:eastAsia="Lato" w:cs="Lato"/>
          <w:color w:val="0070C0"/>
          <w:lang w:val="nl"/>
        </w:rPr>
        <w:t xml:space="preserve"> </w:t>
      </w:r>
      <w:r w:rsidRPr="001A18AD">
        <w:rPr>
          <w:rFonts w:eastAsia="Lato" w:cs="Lato"/>
          <w:color w:val="000000" w:themeColor="text1"/>
          <w:lang w:val="nl"/>
        </w:rPr>
        <w:t xml:space="preserve">is de </w:t>
      </w:r>
      <w:r w:rsidRPr="001A18AD">
        <w:rPr>
          <w:rFonts w:eastAsia="Lato" w:cs="Lato"/>
          <w:b/>
          <w:bCs/>
          <w:color w:val="000000" w:themeColor="text1"/>
          <w:lang w:val="nl"/>
        </w:rPr>
        <w:t>verplichting afhankelijk van de</w:t>
      </w:r>
      <w:r w:rsidRPr="001A18AD">
        <w:rPr>
          <w:rFonts w:eastAsia="Lato" w:cs="Lato"/>
          <w:color w:val="000000" w:themeColor="text1"/>
          <w:lang w:val="nl"/>
        </w:rPr>
        <w:t xml:space="preserve"> </w:t>
      </w:r>
      <w:r w:rsidRPr="001A18AD">
        <w:rPr>
          <w:rFonts w:eastAsia="Lato" w:cs="Lato"/>
          <w:b/>
          <w:bCs/>
          <w:color w:val="000000" w:themeColor="text1"/>
          <w:lang w:val="nl"/>
        </w:rPr>
        <w:t>goed te keuren uitgave</w:t>
      </w:r>
      <w:r w:rsidRPr="001A18AD">
        <w:rPr>
          <w:rFonts w:eastAsia="Lato" w:cs="Lato"/>
          <w:color w:val="000000" w:themeColor="text1"/>
          <w:lang w:val="nl"/>
        </w:rPr>
        <w:t xml:space="preserve">. De gemotiveerde selectiebeslissing, de gemotiveerde gunningsbeslissing en de beslissing tot afzien van de gunning, dienen </w:t>
      </w:r>
      <w:r w:rsidR="008C2453" w:rsidRPr="001A18AD">
        <w:rPr>
          <w:rFonts w:eastAsia="Lato" w:cs="Lato"/>
          <w:color w:val="000000" w:themeColor="text1"/>
          <w:lang w:val="nl"/>
        </w:rPr>
        <w:t xml:space="preserve">wel </w:t>
      </w:r>
      <w:r w:rsidRPr="001A18AD">
        <w:rPr>
          <w:rFonts w:eastAsia="Lato" w:cs="Lato"/>
          <w:color w:val="000000" w:themeColor="text1"/>
          <w:lang w:val="nl"/>
        </w:rPr>
        <w:t xml:space="preserve">steeds </w:t>
      </w:r>
      <w:r w:rsidRPr="001A18AD">
        <w:rPr>
          <w:rFonts w:eastAsia="Lato" w:cs="Lato"/>
          <w:i/>
          <w:iCs/>
          <w:color w:val="000000" w:themeColor="text1"/>
          <w:lang w:val="nl"/>
        </w:rPr>
        <w:t>opgesteld</w:t>
      </w:r>
      <w:r w:rsidRPr="001A18AD">
        <w:rPr>
          <w:rFonts w:eastAsia="Lato" w:cs="Lato"/>
          <w:color w:val="000000" w:themeColor="text1"/>
          <w:lang w:val="nl"/>
        </w:rPr>
        <w:t xml:space="preserve"> te worden.</w:t>
      </w:r>
      <w:r w:rsidR="00020310" w:rsidRPr="001A18AD">
        <w:rPr>
          <w:rFonts w:eastAsia="Lato" w:cs="Lato"/>
          <w:color w:val="000000" w:themeColor="text1"/>
          <w:lang w:val="nl"/>
        </w:rPr>
        <w:t xml:space="preserve"> Concreet: </w:t>
      </w:r>
    </w:p>
    <w:p w14:paraId="4F8C7AF3" w14:textId="54F3E037" w:rsidR="00D73F54" w:rsidRPr="001A18AD" w:rsidRDefault="00020310">
      <w:pPr>
        <w:pStyle w:val="Lijstnummering"/>
      </w:pPr>
      <w:r w:rsidRPr="001A18AD">
        <w:t>v</w:t>
      </w:r>
      <w:r w:rsidR="00D73F54" w:rsidRPr="001A18AD">
        <w:t xml:space="preserve">oor opdrachten met een geraamde waarde onder de Europese drempels, maar waar de </w:t>
      </w:r>
      <w:r w:rsidR="00D73F54" w:rsidRPr="001A18AD">
        <w:rPr>
          <w:b/>
          <w:bCs/>
        </w:rPr>
        <w:t>goed te keuren uitgave</w:t>
      </w:r>
      <w:r w:rsidR="00D73F54" w:rsidRPr="001A18AD">
        <w:t xml:space="preserve"> groter is dan de Europese drempels en dat met minstens 20</w:t>
      </w:r>
      <w:r w:rsidR="00B76343">
        <w:t> </w:t>
      </w:r>
      <w:r w:rsidR="00D73F54" w:rsidRPr="001A18AD">
        <w:t xml:space="preserve">%, zijn de regels hierboven vermeld onder punten </w:t>
      </w:r>
      <w:r w:rsidR="007676AA" w:rsidRPr="001A18AD">
        <w:t>2</w:t>
      </w:r>
      <w:r w:rsidR="00D73F54" w:rsidRPr="001A18AD">
        <w:t xml:space="preserve"> en </w:t>
      </w:r>
      <w:r w:rsidR="004B7331" w:rsidRPr="001A18AD">
        <w:t>3</w:t>
      </w:r>
      <w:r w:rsidR="00D73F54" w:rsidRPr="001A18AD">
        <w:t xml:space="preserve"> van kracht.</w:t>
      </w:r>
      <w:r w:rsidR="00BA4F35" w:rsidRPr="001A18AD">
        <w:t xml:space="preserve"> Daarnaast zijn eveneens de regels onder punt 6 van kracht, zie</w:t>
      </w:r>
      <w:r w:rsidR="003748DB" w:rsidRPr="001A18AD">
        <w:t xml:space="preserve"> verder op deze pagina</w:t>
      </w:r>
      <w:r w:rsidR="00BA4F35" w:rsidRPr="001A18AD">
        <w:t xml:space="preserve">. </w:t>
      </w:r>
    </w:p>
    <w:p w14:paraId="005DECB1" w14:textId="09FBFCBF" w:rsidR="00D73F54" w:rsidRPr="001A18AD" w:rsidRDefault="00020310">
      <w:pPr>
        <w:pStyle w:val="Lijstnummering"/>
      </w:pPr>
      <w:r w:rsidRPr="001A18AD">
        <w:t>v</w:t>
      </w:r>
      <w:r w:rsidR="00D73F54" w:rsidRPr="001A18AD">
        <w:t xml:space="preserve">oor opdrachten met een geraamde waarde onder de Europese drempels en een </w:t>
      </w:r>
      <w:r w:rsidR="00D73F54" w:rsidRPr="001A18AD">
        <w:rPr>
          <w:b/>
          <w:bCs/>
        </w:rPr>
        <w:t>goed te keuren uitgave</w:t>
      </w:r>
      <w:r w:rsidR="00D73F54" w:rsidRPr="001A18AD">
        <w:t xml:space="preserve"> groter dan 140.000 euro, maar waar die uitgave de Europese drempel niet overschrijdt met 20</w:t>
      </w:r>
      <w:r w:rsidR="004153E4">
        <w:t> </w:t>
      </w:r>
      <w:r w:rsidR="00D73F54" w:rsidRPr="001A18AD">
        <w:t xml:space="preserve">%, zijn de regels hierboven vermeld onder punten </w:t>
      </w:r>
      <w:r w:rsidR="004B7331" w:rsidRPr="001A18AD">
        <w:t>1, 2 en 3</w:t>
      </w:r>
      <w:r w:rsidR="00D73F54" w:rsidRPr="001A18AD">
        <w:t xml:space="preserve"> van kracht. </w:t>
      </w:r>
    </w:p>
    <w:p w14:paraId="7EF4AF4F" w14:textId="6E6CA385" w:rsidR="00D73F54" w:rsidRPr="001A18AD" w:rsidRDefault="00020310">
      <w:pPr>
        <w:pStyle w:val="Lijstnummering"/>
      </w:pPr>
      <w:r w:rsidRPr="001A18AD">
        <w:t>v</w:t>
      </w:r>
      <w:r w:rsidR="00D73F54" w:rsidRPr="001A18AD">
        <w:t>oor</w:t>
      </w:r>
      <w:r w:rsidR="00D73F54" w:rsidRPr="001A18AD">
        <w:rPr>
          <w:b/>
          <w:bCs/>
        </w:rPr>
        <w:t xml:space="preserve"> opdrachten met </w:t>
      </w:r>
      <w:r w:rsidR="00D73F54" w:rsidRPr="001A18AD">
        <w:t xml:space="preserve">een geraamde waarde onder de Europese drempels en </w:t>
      </w:r>
      <w:r w:rsidR="00D73F54" w:rsidRPr="001A18AD">
        <w:rPr>
          <w:b/>
          <w:bCs/>
        </w:rPr>
        <w:t>een goed te keuren uitgave die</w:t>
      </w:r>
      <w:r w:rsidR="00D73F54" w:rsidRPr="001A18AD">
        <w:t xml:space="preserve"> niet groter is dan 140.000 euro zijn volgende regels van kracht:</w:t>
      </w:r>
    </w:p>
    <w:p w14:paraId="70AEE56F" w14:textId="77777777" w:rsidR="00FE2A6F" w:rsidRPr="001A18AD" w:rsidRDefault="00FE2A6F" w:rsidP="004E29CD">
      <w:pPr>
        <w:pStyle w:val="Bullet2"/>
        <w:rPr>
          <w:lang w:val="nl-BE"/>
        </w:rPr>
      </w:pPr>
      <w:r w:rsidRPr="001A18AD">
        <w:rPr>
          <w:lang w:val="nl-BE"/>
        </w:rPr>
        <w:t xml:space="preserve">De aanbesteder stelt een gemotiveerde beslissing op wanneer: </w:t>
      </w:r>
    </w:p>
    <w:p w14:paraId="00A4C834" w14:textId="77777777" w:rsidR="00FE2A6F" w:rsidRPr="001A18AD" w:rsidRDefault="00FE2A6F" w:rsidP="00DB7C8E">
      <w:pPr>
        <w:pStyle w:val="Indent3"/>
      </w:pPr>
      <w:r w:rsidRPr="001A18AD">
        <w:t xml:space="preserve">1° ze beslist over de selectie van de kandidaten ingeval de procedure een eerste fase met de indiening van aanvragen tot deelneming omvat; </w:t>
      </w:r>
    </w:p>
    <w:p w14:paraId="4CA12E9C" w14:textId="77777777" w:rsidR="00FE2A6F" w:rsidRPr="001A18AD" w:rsidRDefault="00FE2A6F" w:rsidP="00DB7C8E">
      <w:pPr>
        <w:pStyle w:val="Indent3"/>
      </w:pPr>
      <w:r w:rsidRPr="001A18AD">
        <w:t xml:space="preserve">2° wanneer ze de opdracht gunt, ongeacht de procedure; </w:t>
      </w:r>
    </w:p>
    <w:p w14:paraId="5E85E798" w14:textId="77777777" w:rsidR="00FE2A6F" w:rsidRPr="001A18AD" w:rsidRDefault="00FE2A6F" w:rsidP="00DB7C8E">
      <w:pPr>
        <w:pStyle w:val="Indent3"/>
      </w:pPr>
      <w:r w:rsidRPr="001A18AD">
        <w:t>3° wanneer ze afziet van het plaatsen van de opdracht en eventueel beslist een nieuwe plaatsingsprocedure uit te schrijven</w:t>
      </w:r>
    </w:p>
    <w:p w14:paraId="2F48ADF4" w14:textId="77777777" w:rsidR="00FE2A6F" w:rsidRPr="001A18AD" w:rsidRDefault="00FE2A6F" w:rsidP="004E29CD">
      <w:pPr>
        <w:pStyle w:val="Bullet2"/>
        <w:rPr>
          <w:lang w:val="nl-BE"/>
        </w:rPr>
      </w:pPr>
      <w:r w:rsidRPr="001A18AD">
        <w:rPr>
          <w:lang w:val="nl-BE"/>
        </w:rPr>
        <w:t>Bovendien deelt de aanbestedende instantie het volgende mee:</w:t>
      </w:r>
    </w:p>
    <w:p w14:paraId="1246474E" w14:textId="77777777" w:rsidR="00FE2A6F" w:rsidRPr="001A18AD" w:rsidRDefault="00FE2A6F" w:rsidP="00DB7C8E">
      <w:pPr>
        <w:pStyle w:val="Indent3"/>
      </w:pPr>
      <w:r w:rsidRPr="001A18AD">
        <w:t xml:space="preserve">1° wanneer de gunningsprocedure een eerste fase met de indiening van aanvragen tot deelneming omvat en onmiddellijk na het nemen van de gemotiveerde selectiebeslissing, aan elke niet-geselecteerde kandidaat dat hij niet is geselecteerd; </w:t>
      </w:r>
    </w:p>
    <w:p w14:paraId="2D2A30C3" w14:textId="77777777" w:rsidR="00FE2A6F" w:rsidRPr="001A18AD" w:rsidRDefault="00FE2A6F" w:rsidP="00DB7C8E">
      <w:pPr>
        <w:pStyle w:val="Indent3"/>
      </w:pPr>
      <w:r w:rsidRPr="001A18AD">
        <w:t>2° onmiddellijk na het nemen van de gunningsbeslissing, aan elke niet-geselecteerde kandidaat of inschrijver dat hij niet is geselecteerd, aan elke inschrijver met een geweerde of niet-gekozen offerte dat zijn offerte is geweerd of niet is gekozen en aan de gekozen inschrijver dat hij is gekozen</w:t>
      </w:r>
    </w:p>
    <w:p w14:paraId="20D99F59" w14:textId="77777777" w:rsidR="00FE2A6F" w:rsidRPr="001A18AD" w:rsidRDefault="00FE2A6F" w:rsidP="004E29CD">
      <w:pPr>
        <w:pStyle w:val="Bullet2"/>
        <w:rPr>
          <w:lang w:val="nl-BE"/>
        </w:rPr>
      </w:pPr>
      <w:r w:rsidRPr="001A18AD">
        <w:rPr>
          <w:lang w:val="nl-BE"/>
        </w:rPr>
        <w:t xml:space="preserve">Binnen een termijn van dertig dagen vanaf de datum van verzending kan de betrokken kandidaat of inschrijver schriftelijk verzoeken om hem volgende aanvullende informatie mee te delen: </w:t>
      </w:r>
    </w:p>
    <w:p w14:paraId="57C2CAEF" w14:textId="77777777" w:rsidR="00FE2A6F" w:rsidRPr="001A18AD" w:rsidRDefault="00FE2A6F" w:rsidP="00DB7C8E">
      <w:pPr>
        <w:pStyle w:val="Indent3"/>
      </w:pPr>
      <w:r w:rsidRPr="001A18AD">
        <w:t xml:space="preserve">1° elke niet-geselecteerde kandidaat of inschrijver: de motieven voor zijn niet-selectie, in de vorm van een uittreksel van de gemotiveerde beslissing; </w:t>
      </w:r>
    </w:p>
    <w:p w14:paraId="66F0161A" w14:textId="77777777" w:rsidR="00FE2A6F" w:rsidRPr="001A18AD" w:rsidRDefault="00FE2A6F" w:rsidP="00DB7C8E">
      <w:pPr>
        <w:pStyle w:val="Indent3"/>
      </w:pPr>
      <w:r w:rsidRPr="001A18AD">
        <w:t xml:space="preserve">2° elke inschrijver van wie de offerte geweerd is: de motieven voor de wering, onder de vorm van een uittreksel van de gemotiveerde beslissing; </w:t>
      </w:r>
    </w:p>
    <w:p w14:paraId="238CD723" w14:textId="77777777" w:rsidR="00FE2A6F" w:rsidRPr="001A18AD" w:rsidRDefault="00FE2A6F" w:rsidP="00DB7C8E">
      <w:pPr>
        <w:pStyle w:val="Indent3"/>
      </w:pPr>
      <w:r w:rsidRPr="001A18AD">
        <w:lastRenderedPageBreak/>
        <w:t>3° elke inschrijver van wie de offerte niet is gekozen en de opdrachtnemer: de gemotiveerde beslissing.</w:t>
      </w:r>
    </w:p>
    <w:p w14:paraId="6D261E92" w14:textId="77777777" w:rsidR="00FE2A6F" w:rsidRPr="001A18AD" w:rsidRDefault="00FE2A6F" w:rsidP="004E29CD">
      <w:pPr>
        <w:pStyle w:val="Indent2"/>
      </w:pPr>
      <w:r w:rsidRPr="001A18AD">
        <w:t>De aanbestedende instantie deelt deze aanvullende informatie mee binnen een termijn van vijftien dagen vanaf de datum van ontvangst van het verzoek daartoe.</w:t>
      </w:r>
    </w:p>
    <w:p w14:paraId="0901CACF" w14:textId="77777777" w:rsidR="008C5128" w:rsidRPr="001A18AD" w:rsidRDefault="008C5128" w:rsidP="00B54ADB">
      <w:pPr>
        <w:pStyle w:val="Indent2"/>
        <w:rPr>
          <w:lang w:val="nl"/>
        </w:rPr>
      </w:pPr>
      <w:r w:rsidRPr="001A18AD">
        <w:rPr>
          <w:lang w:val="nl"/>
        </w:rPr>
        <w:t xml:space="preserve">In het algemeen hebben aanbesteders dus steeds de plicht om inschrijvers te informeren over de </w:t>
      </w:r>
      <w:r w:rsidRPr="001A18AD">
        <w:rPr>
          <w:i/>
          <w:iCs/>
          <w:lang w:val="nl"/>
        </w:rPr>
        <w:t>resultaten</w:t>
      </w:r>
      <w:r w:rsidRPr="001A18AD">
        <w:rPr>
          <w:lang w:val="nl"/>
        </w:rPr>
        <w:t xml:space="preserve"> van de beslissing, en op verzoek hebben inschrijvers steeds het recht om de </w:t>
      </w:r>
      <w:r w:rsidRPr="001A18AD">
        <w:rPr>
          <w:i/>
          <w:iCs/>
          <w:lang w:val="nl"/>
        </w:rPr>
        <w:t>motieven</w:t>
      </w:r>
      <w:r w:rsidRPr="001A18AD">
        <w:rPr>
          <w:lang w:val="nl"/>
        </w:rPr>
        <w:t xml:space="preserve"> te ontvangen. </w:t>
      </w:r>
    </w:p>
    <w:p w14:paraId="146EB32A" w14:textId="07E26E30" w:rsidR="008C5128" w:rsidRPr="001A18AD" w:rsidRDefault="008C5128" w:rsidP="008C5128">
      <w:pPr>
        <w:rPr>
          <w:rFonts w:eastAsia="Lato" w:cs="Lato"/>
          <w:color w:val="000000" w:themeColor="text1"/>
          <w:lang w:val="nl"/>
        </w:rPr>
      </w:pPr>
      <w:r w:rsidRPr="001A18AD">
        <w:rPr>
          <w:rFonts w:eastAsia="Lato" w:cs="Lato"/>
          <w:color w:val="000000" w:themeColor="text1"/>
          <w:lang w:val="nl"/>
        </w:rPr>
        <w:t xml:space="preserve">De kandidaten hebben – al dan niet op verzoek – het recht op het </w:t>
      </w:r>
      <w:r w:rsidRPr="001A18AD">
        <w:rPr>
          <w:rFonts w:eastAsia="Lato" w:cs="Lato"/>
          <w:i/>
          <w:iCs/>
          <w:color w:val="000000" w:themeColor="text1"/>
          <w:lang w:val="nl"/>
        </w:rPr>
        <w:t>ontvangen</w:t>
      </w:r>
      <w:r w:rsidRPr="001A18AD">
        <w:rPr>
          <w:rFonts w:eastAsia="Lato" w:cs="Lato"/>
          <w:color w:val="000000" w:themeColor="text1"/>
          <w:lang w:val="nl"/>
        </w:rPr>
        <w:t xml:space="preserve"> </w:t>
      </w:r>
      <w:r w:rsidR="00C52244" w:rsidRPr="001A18AD">
        <w:rPr>
          <w:rFonts w:eastAsia="Lato" w:cs="Lato"/>
          <w:color w:val="000000" w:themeColor="text1"/>
          <w:lang w:val="nl"/>
        </w:rPr>
        <w:t xml:space="preserve">van </w:t>
      </w:r>
      <w:r w:rsidRPr="001A18AD">
        <w:rPr>
          <w:rFonts w:eastAsia="Lato" w:cs="Lato"/>
          <w:color w:val="000000" w:themeColor="text1"/>
          <w:lang w:val="nl"/>
        </w:rPr>
        <w:t>de integrale beslissing. De uitzondering op deze regel zijn onregelmatige offertes en</w:t>
      </w:r>
      <w:r w:rsidR="00647F9F" w:rsidRPr="001A18AD">
        <w:rPr>
          <w:rFonts w:eastAsia="Lato" w:cs="Lato"/>
          <w:color w:val="000000" w:themeColor="text1"/>
          <w:lang w:val="nl"/>
        </w:rPr>
        <w:t xml:space="preserve"> in sommige gevallen de</w:t>
      </w:r>
      <w:r w:rsidRPr="001A18AD">
        <w:rPr>
          <w:rFonts w:eastAsia="Lato" w:cs="Lato"/>
          <w:color w:val="000000" w:themeColor="text1"/>
          <w:lang w:val="nl"/>
        </w:rPr>
        <w:t xml:space="preserve"> niet-geselecteerde kandidaten. In die gevallen wordt gewerkt met een uittreksel van de beslissing, voor zover de uittreksels betrekking hebben op de desbetreffende offerte.</w:t>
      </w:r>
    </w:p>
    <w:p w14:paraId="184D0703" w14:textId="2CD4202E" w:rsidR="008C5128" w:rsidRPr="001A18AD" w:rsidRDefault="008C5128" w:rsidP="008C5128">
      <w:pPr>
        <w:rPr>
          <w:rFonts w:eastAsia="Lato" w:cs="Lato"/>
          <w:color w:val="000000" w:themeColor="text1"/>
          <w:lang w:val="nl"/>
        </w:rPr>
      </w:pPr>
      <w:r w:rsidRPr="001A18AD">
        <w:rPr>
          <w:rFonts w:eastAsia="Lato" w:cs="Lato"/>
          <w:color w:val="000000" w:themeColor="text1"/>
          <w:lang w:val="nl"/>
        </w:rPr>
        <w:t xml:space="preserve">Voor opdrachten </w:t>
      </w:r>
      <w:r w:rsidR="00C812FB" w:rsidRPr="001A18AD">
        <w:rPr>
          <w:rFonts w:eastAsia="Lato" w:cs="Lato"/>
          <w:color w:val="000000" w:themeColor="text1"/>
          <w:lang w:val="nl"/>
        </w:rPr>
        <w:t>van</w:t>
      </w:r>
      <w:r w:rsidRPr="001A18AD">
        <w:rPr>
          <w:rFonts w:eastAsia="Lato" w:cs="Lato"/>
          <w:color w:val="000000" w:themeColor="text1"/>
          <w:lang w:val="nl"/>
        </w:rPr>
        <w:t xml:space="preserve"> </w:t>
      </w:r>
      <w:r w:rsidRPr="006752B0">
        <w:rPr>
          <w:rFonts w:eastAsia="Lato" w:cs="Lato"/>
          <w:b/>
          <w:bCs/>
          <w:color w:val="0070C0"/>
          <w:lang w:val="nl"/>
        </w:rPr>
        <w:t>beperkte waarde</w:t>
      </w:r>
      <w:r w:rsidR="00CF2067" w:rsidRPr="006752B0">
        <w:rPr>
          <w:rFonts w:eastAsia="Lato" w:cs="Lato"/>
          <w:b/>
          <w:bCs/>
          <w:color w:val="0070C0"/>
          <w:lang w:val="nl"/>
        </w:rPr>
        <w:t xml:space="preserve"> </w:t>
      </w:r>
      <w:r w:rsidR="00CF2067" w:rsidRPr="001A18AD">
        <w:rPr>
          <w:rFonts w:eastAsia="Lato" w:cs="Lato"/>
          <w:lang w:val="nl"/>
        </w:rPr>
        <w:t>(= lager dan 30.000 euro)</w:t>
      </w:r>
      <w:r w:rsidRPr="001A18AD">
        <w:rPr>
          <w:rFonts w:eastAsia="Lato" w:cs="Lato"/>
          <w:lang w:val="nl"/>
        </w:rPr>
        <w:t xml:space="preserve"> </w:t>
      </w:r>
      <w:r w:rsidRPr="001A18AD">
        <w:rPr>
          <w:rFonts w:eastAsia="Lato" w:cs="Lato"/>
          <w:color w:val="000000" w:themeColor="text1"/>
          <w:lang w:val="nl"/>
        </w:rPr>
        <w:t>geldt de algemene regeling van de wetten op openbaarheid van bestuur en de motivering van de bestuurshandelingen.</w:t>
      </w:r>
    </w:p>
    <w:p w14:paraId="0D07E6CD" w14:textId="0063DA9D" w:rsidR="008C5128" w:rsidRPr="001A18AD" w:rsidRDefault="008C5128" w:rsidP="008C5128">
      <w:pPr>
        <w:rPr>
          <w:rFonts w:eastAsia="Lato" w:cs="Lato"/>
          <w:color w:val="000000" w:themeColor="text1"/>
          <w:lang w:val="nl"/>
        </w:rPr>
      </w:pPr>
      <w:r w:rsidRPr="001A18AD">
        <w:rPr>
          <w:rFonts w:eastAsia="Lato" w:cs="Lato"/>
          <w:color w:val="000000" w:themeColor="text1"/>
          <w:lang w:val="nl"/>
        </w:rPr>
        <w:t xml:space="preserve">Tot slot, </w:t>
      </w:r>
      <w:r w:rsidRPr="001A18AD">
        <w:rPr>
          <w:rFonts w:eastAsia="Lato" w:cs="Lato"/>
          <w:b/>
          <w:bCs/>
          <w:color w:val="000000" w:themeColor="text1"/>
          <w:lang w:val="nl"/>
        </w:rPr>
        <w:t xml:space="preserve">gezien het bijzondere nut van dit type feedback, </w:t>
      </w:r>
      <w:r w:rsidRPr="006752B0">
        <w:rPr>
          <w:rFonts w:eastAsia="Lato" w:cs="Lato"/>
          <w:b/>
          <w:bCs/>
          <w:color w:val="0070C0"/>
          <w:lang w:val="nl"/>
        </w:rPr>
        <w:t>zullen ondernemingen en zeker kmo’s het spontaan aanbieden van die informatie zwaar op prijs stellen.</w:t>
      </w:r>
      <w:r w:rsidRPr="006752B0">
        <w:rPr>
          <w:rFonts w:eastAsia="Lato" w:cs="Lato"/>
          <w:color w:val="0070C0"/>
          <w:lang w:val="nl"/>
        </w:rPr>
        <w:t xml:space="preserve"> </w:t>
      </w:r>
    </w:p>
    <w:p w14:paraId="16C66659" w14:textId="032C01BB" w:rsidR="008C5128" w:rsidRPr="001A18AD" w:rsidRDefault="008C5128" w:rsidP="008C5128">
      <w:pPr>
        <w:rPr>
          <w:rFonts w:eastAsia="Lato" w:cs="Lato"/>
          <w:color w:val="000000" w:themeColor="text1"/>
          <w:lang w:val="nl"/>
        </w:rPr>
      </w:pPr>
      <w:r w:rsidRPr="001A18AD">
        <w:rPr>
          <w:rFonts w:eastAsia="Lato" w:cs="Lato"/>
          <w:b/>
          <w:bCs/>
          <w:color w:val="000000" w:themeColor="text1"/>
          <w:lang w:val="nl"/>
        </w:rPr>
        <w:t>Bovendien</w:t>
      </w:r>
      <w:r w:rsidRPr="001A18AD">
        <w:rPr>
          <w:rFonts w:eastAsia="Lato" w:cs="Lato"/>
          <w:color w:val="000000" w:themeColor="text1"/>
          <w:lang w:val="nl"/>
        </w:rPr>
        <w:t xml:space="preserve"> zal het vernieuwde e-Procurement de niet-weerhouden ondernemingen in de toekomst herinneren aan hun recht om feedback te vragen. In het kader van het gemeenschappelijke actieplan “toegang van kmo’s tot overheidsopdrachten bevorderen” wordt immers voorzien dat de FOD BOSA als beheerder van e-Procurement op </w:t>
      </w:r>
      <w:r w:rsidR="003E3547" w:rsidRPr="001A18AD">
        <w:rPr>
          <w:rFonts w:eastAsia="Lato" w:cs="Lato"/>
          <w:color w:val="000000" w:themeColor="text1"/>
          <w:lang w:val="nl"/>
        </w:rPr>
        <w:t xml:space="preserve">korte </w:t>
      </w:r>
      <w:r w:rsidRPr="001A18AD">
        <w:rPr>
          <w:rFonts w:eastAsia="Lato" w:cs="Lato"/>
          <w:color w:val="000000" w:themeColor="text1"/>
          <w:lang w:val="nl"/>
        </w:rPr>
        <w:t xml:space="preserve">termijn een tool zal toevoegen aan het platform die toelaat </w:t>
      </w:r>
      <w:r w:rsidR="002138E0" w:rsidRPr="001A18AD">
        <w:rPr>
          <w:rFonts w:eastAsia="Lato" w:cs="Lato"/>
          <w:color w:val="000000" w:themeColor="text1"/>
          <w:lang w:val="nl"/>
        </w:rPr>
        <w:t xml:space="preserve">aan de aanbesteder </w:t>
      </w:r>
      <w:r w:rsidRPr="001A18AD">
        <w:rPr>
          <w:rFonts w:eastAsia="Lato" w:cs="Lato"/>
          <w:color w:val="000000" w:themeColor="text1"/>
          <w:lang w:val="nl"/>
        </w:rPr>
        <w:t xml:space="preserve">om ondernemingen te herinneren aan hun recht op het vragen van feedback </w:t>
      </w:r>
      <w:r w:rsidR="00030107" w:rsidRPr="001A18AD">
        <w:rPr>
          <w:rFonts w:eastAsia="Lato" w:cs="Lato"/>
          <w:color w:val="000000" w:themeColor="text1"/>
          <w:lang w:val="nl"/>
        </w:rPr>
        <w:t xml:space="preserve">om hen zo te stimuleren om dat recht </w:t>
      </w:r>
      <w:r w:rsidR="003C3D6E" w:rsidRPr="001A18AD">
        <w:rPr>
          <w:rFonts w:eastAsia="Lato" w:cs="Lato"/>
          <w:color w:val="000000" w:themeColor="text1"/>
          <w:lang w:val="nl"/>
        </w:rPr>
        <w:t xml:space="preserve">ook </w:t>
      </w:r>
      <w:r w:rsidRPr="001A18AD">
        <w:rPr>
          <w:rFonts w:eastAsia="Lato" w:cs="Lato"/>
          <w:color w:val="000000" w:themeColor="text1"/>
          <w:lang w:val="nl"/>
        </w:rPr>
        <w:t xml:space="preserve">uit te oefenen. </w:t>
      </w:r>
    </w:p>
    <w:p w14:paraId="4713BCFA" w14:textId="77777777" w:rsidR="008C5128" w:rsidRPr="001A18AD" w:rsidRDefault="008C5128" w:rsidP="008C5128">
      <w:pPr>
        <w:rPr>
          <w:rFonts w:eastAsia="Lato" w:cs="Lato"/>
          <w:color w:val="000000" w:themeColor="text1"/>
          <w:lang w:val="nl"/>
        </w:rPr>
      </w:pPr>
      <w:r w:rsidRPr="001A18AD">
        <w:rPr>
          <w:rFonts w:eastAsia="Lato" w:cs="Lato"/>
          <w:color w:val="000000" w:themeColor="text1"/>
          <w:lang w:val="nl"/>
        </w:rPr>
        <w:t>De manier waarop dat zal gebeuren, bijvoorbeeld via een elektronische herinnering, staat op heden nog niet vast. Het toepassingsgebied van die nieuwe tool zijn de opdrachten onder de Europese drempels waar het initiatief bij de ondernemer ligt. Voor opdrachten boven de Europese drempels moet de aanbesteder immers reeds uit eigen beweging gedetailleerde informatie meegeven.</w:t>
      </w:r>
    </w:p>
    <w:p w14:paraId="17D739BC" w14:textId="77777777" w:rsidR="008C5128" w:rsidRPr="001A18AD" w:rsidRDefault="008C5128" w:rsidP="008C5128">
      <w:pPr>
        <w:rPr>
          <w:rStyle w:val="normaltextrun"/>
          <w:rFonts w:eastAsiaTheme="majorEastAsia"/>
          <w:color w:val="000000"/>
          <w:lang w:val="nl-NL"/>
        </w:rPr>
      </w:pPr>
      <w:r w:rsidRPr="004073D9">
        <w:rPr>
          <w:rFonts w:eastAsia="Lato" w:cs="Lato"/>
          <w:b/>
          <w:bCs/>
          <w:color w:val="0070C0"/>
          <w:lang w:val="nl"/>
        </w:rPr>
        <w:t>Het charter vraagt dan ook aan de aanbesteders om</w:t>
      </w:r>
      <w:r w:rsidRPr="001A18AD">
        <w:rPr>
          <w:rFonts w:eastAsia="Lato" w:cs="Lato"/>
          <w:color w:val="000000" w:themeColor="text1"/>
          <w:lang w:val="nl"/>
        </w:rPr>
        <w:t xml:space="preserve">, indien de nieuwe toepassing hierboven vermeld geen automatisch karakter zou kennen, die toepassing systematisch – tenzij in uitzonderlijke gevallen, toe te passen en dus ondernemingen via die nieuwe toepassing steeds te herinneren aan hun recht om feedback op te vragen. </w:t>
      </w:r>
      <w:r w:rsidRPr="001A18AD">
        <w:rPr>
          <w:rStyle w:val="normaltextrun"/>
          <w:rFonts w:eastAsiaTheme="majorEastAsia"/>
          <w:color w:val="000000"/>
          <w:lang w:val="nl-NL"/>
        </w:rPr>
        <w:t xml:space="preserve">Een opvolging van het gebruik van de nieuwe toepassing in e-Procurement wordt voorzien.  </w:t>
      </w:r>
    </w:p>
    <w:p w14:paraId="2F3F5551" w14:textId="77777777" w:rsidR="008C5128" w:rsidRPr="001A18AD" w:rsidRDefault="008C5128" w:rsidP="008C5128">
      <w:pPr>
        <w:rPr>
          <w:rFonts w:eastAsia="Lato" w:cs="Lato"/>
          <w:color w:val="000000" w:themeColor="text1"/>
          <w:lang w:val="nl"/>
        </w:rPr>
      </w:pPr>
      <w:r w:rsidRPr="001A18AD">
        <w:rPr>
          <w:rFonts w:eastAsia="Lato" w:cs="Lato"/>
          <w:color w:val="000000" w:themeColor="text1"/>
          <w:lang w:val="nl"/>
        </w:rPr>
        <w:t>Aanbesteders hebben er dus alle belang bij om de resultaten en de motieven systematisch spontaan en in één beweging te verschaffen.</w:t>
      </w:r>
    </w:p>
    <w:p w14:paraId="1032F528" w14:textId="360F1482" w:rsidR="001E4A95" w:rsidRPr="001A18AD" w:rsidRDefault="00F268F7" w:rsidP="00F268F7">
      <w:pPr>
        <w:pStyle w:val="Kop3"/>
        <w:rPr>
          <w:rFonts w:eastAsia="Lato"/>
          <w:lang w:val="nl"/>
        </w:rPr>
      </w:pPr>
      <w:r w:rsidRPr="001A18AD">
        <w:rPr>
          <w:rFonts w:eastAsia="Lato"/>
          <w:lang w:val="nl"/>
        </w:rPr>
        <w:t xml:space="preserve"> </w:t>
      </w:r>
      <w:bookmarkStart w:id="192" w:name="_Toc135840012"/>
      <w:bookmarkStart w:id="193" w:name="_Toc150870617"/>
      <w:r w:rsidRPr="001A18AD">
        <w:rPr>
          <w:rFonts w:eastAsia="Lato"/>
          <w:lang w:val="nl"/>
        </w:rPr>
        <w:t xml:space="preserve">Onderhandeling, motivering, mededeling en </w:t>
      </w:r>
      <w:r w:rsidR="005F5A32" w:rsidRPr="001A18AD">
        <w:rPr>
          <w:rFonts w:eastAsia="Lato"/>
          <w:lang w:val="nl"/>
        </w:rPr>
        <w:t>rechtsmiddelen</w:t>
      </w:r>
      <w:bookmarkEnd w:id="192"/>
      <w:bookmarkEnd w:id="193"/>
    </w:p>
    <w:p w14:paraId="09CB3228" w14:textId="548C920E" w:rsidR="00C519F1" w:rsidRPr="001A18AD" w:rsidRDefault="00C519F1" w:rsidP="00C519F1">
      <w:pPr>
        <w:rPr>
          <w:rFonts w:eastAsia="Lato" w:cs="Lato"/>
          <w:color w:val="000000" w:themeColor="text1"/>
          <w:lang w:val="nl"/>
        </w:rPr>
      </w:pPr>
      <w:r w:rsidRPr="001A18AD">
        <w:rPr>
          <w:rFonts w:eastAsia="Lato" w:cs="Lato"/>
          <w:color w:val="000000" w:themeColor="text1"/>
          <w:lang w:val="nl"/>
        </w:rPr>
        <w:t xml:space="preserve">Voor </w:t>
      </w:r>
      <w:r w:rsidRPr="001A18AD">
        <w:rPr>
          <w:rFonts w:eastAsia="Lato" w:cs="Lato"/>
          <w:b/>
          <w:bCs/>
          <w:color w:val="000000" w:themeColor="text1"/>
          <w:lang w:val="nl"/>
        </w:rPr>
        <w:t>procedures waar onderhandelingen</w:t>
      </w:r>
      <w:r w:rsidRPr="001A18AD">
        <w:rPr>
          <w:rFonts w:eastAsia="Lato" w:cs="Lato"/>
          <w:color w:val="000000" w:themeColor="text1"/>
          <w:lang w:val="nl"/>
        </w:rPr>
        <w:t xml:space="preserve"> aan te pas komen, dient de aanbestedende instantie op verzoek van elke betrokken inschrijver of deelnemer de informatie over het verloop en de voortgang van de onderhandelingen of van de dialoog mee te delen, en dat zo spoedig mogelijk en uiterlijk vijftien dagen na ontvangst van het schriftelijke verzoek.</w:t>
      </w:r>
    </w:p>
    <w:p w14:paraId="39A10B6F" w14:textId="34AADF37" w:rsidR="00C519F1" w:rsidRPr="00D649ED" w:rsidRDefault="00C519F1" w:rsidP="00C519F1">
      <w:pPr>
        <w:rPr>
          <w:rFonts w:eastAsia="Lato" w:cs="Lato"/>
          <w:color w:val="000000" w:themeColor="text1"/>
          <w:lang w:val="nl"/>
        </w:rPr>
      </w:pPr>
      <w:r w:rsidRPr="001A18AD">
        <w:rPr>
          <w:rFonts w:eastAsia="Lato" w:cs="Lato"/>
          <w:color w:val="000000" w:themeColor="text1"/>
          <w:lang w:val="nl"/>
        </w:rPr>
        <w:t xml:space="preserve">De </w:t>
      </w:r>
      <w:r w:rsidR="00FD70E1" w:rsidRPr="001A18AD">
        <w:rPr>
          <w:rFonts w:eastAsia="Lato" w:cs="Lato"/>
          <w:color w:val="000000" w:themeColor="text1"/>
          <w:lang w:val="nl"/>
        </w:rPr>
        <w:t>aanbesteder</w:t>
      </w:r>
      <w:r w:rsidRPr="001A18AD">
        <w:rPr>
          <w:rFonts w:eastAsia="Lato" w:cs="Lato"/>
          <w:color w:val="000000" w:themeColor="text1"/>
          <w:lang w:val="nl"/>
        </w:rPr>
        <w:t xml:space="preserve"> word</w:t>
      </w:r>
      <w:r w:rsidR="00FD70E1" w:rsidRPr="001A18AD">
        <w:rPr>
          <w:rFonts w:eastAsia="Lato" w:cs="Lato"/>
          <w:color w:val="000000" w:themeColor="text1"/>
          <w:lang w:val="nl"/>
        </w:rPr>
        <w:t>t</w:t>
      </w:r>
      <w:r w:rsidRPr="001A18AD">
        <w:rPr>
          <w:rFonts w:eastAsia="Lato" w:cs="Lato"/>
          <w:color w:val="000000" w:themeColor="text1"/>
          <w:lang w:val="nl"/>
        </w:rPr>
        <w:t xml:space="preserve"> aangeraden om op eigen initiatief elke betrokken inschrijver of deelnemer regelmatig te informeren over de voortgang van de onderhandelingen</w:t>
      </w:r>
      <w:r w:rsidRPr="00D649ED">
        <w:rPr>
          <w:rFonts w:eastAsia="Lato" w:cs="Lato"/>
          <w:color w:val="000000" w:themeColor="text1"/>
          <w:lang w:val="nl"/>
        </w:rPr>
        <w:t xml:space="preserve"> of van de dialoog.</w:t>
      </w:r>
    </w:p>
    <w:p w14:paraId="2DE19605" w14:textId="525F30A5" w:rsidR="00C519F1" w:rsidRPr="00D649ED" w:rsidRDefault="00C519F1" w:rsidP="00C519F1">
      <w:pPr>
        <w:spacing w:line="259" w:lineRule="auto"/>
        <w:rPr>
          <w:rFonts w:eastAsia="Lato" w:cs="Lato"/>
          <w:color w:val="000000" w:themeColor="text1"/>
          <w:lang w:val="nl"/>
        </w:rPr>
      </w:pPr>
      <w:r w:rsidRPr="00D649ED">
        <w:rPr>
          <w:rFonts w:eastAsia="Lato" w:cs="Lato"/>
          <w:color w:val="000000" w:themeColor="text1"/>
          <w:lang w:val="nl"/>
        </w:rPr>
        <w:t xml:space="preserve">Krachtens de formele motiveringsplicht dient de gemotiveerde beslissing de </w:t>
      </w:r>
      <w:r w:rsidRPr="009F0509">
        <w:rPr>
          <w:rFonts w:eastAsia="Lato" w:cs="Lato"/>
          <w:b/>
          <w:bCs/>
          <w:color w:val="000000" w:themeColor="text1"/>
          <w:lang w:val="nl"/>
        </w:rPr>
        <w:t>juridische en feitelijke overwegingen</w:t>
      </w:r>
      <w:r w:rsidRPr="00D649ED">
        <w:rPr>
          <w:rFonts w:eastAsia="Lato" w:cs="Lato"/>
          <w:color w:val="000000" w:themeColor="text1"/>
          <w:lang w:val="nl"/>
        </w:rPr>
        <w:t xml:space="preserve"> te vermelden die aan die beslissing ten grondslag liggen</w:t>
      </w:r>
      <w:r>
        <w:rPr>
          <w:rFonts w:eastAsia="Lato" w:cs="Lato"/>
          <w:color w:val="000000" w:themeColor="text1"/>
          <w:lang w:val="nl"/>
        </w:rPr>
        <w:t>. Bovendien</w:t>
      </w:r>
      <w:r w:rsidRPr="00D649ED">
        <w:rPr>
          <w:rFonts w:eastAsia="Lato" w:cs="Lato"/>
          <w:color w:val="000000" w:themeColor="text1"/>
          <w:lang w:val="nl"/>
        </w:rPr>
        <w:t xml:space="preserve"> moet die motivering afdoende zijn, opdat de betrokken kandidaten of inschrijvers in staat zouden zijn terdege te beoordelen of het zin heeft zich tegen de beslissing te verweren met de middelen die het recht hen ter beschikking stelt.</w:t>
      </w:r>
    </w:p>
    <w:p w14:paraId="6C06039A" w14:textId="77777777" w:rsidR="00C519F1" w:rsidRPr="00D649ED" w:rsidRDefault="00C519F1" w:rsidP="00C519F1">
      <w:r w:rsidRPr="00D649ED">
        <w:rPr>
          <w:rFonts w:eastAsia="Lato" w:cs="Lato"/>
          <w:color w:val="000000" w:themeColor="text1"/>
          <w:lang w:val="nl"/>
        </w:rPr>
        <w:t xml:space="preserve">De aanbestedende overheden moeten ervoor zorgen dat beslissingen berusten op afdoende, voldoende veruitwendigde en draagkrachtige motieven. </w:t>
      </w:r>
    </w:p>
    <w:p w14:paraId="4EE47042" w14:textId="6CFC2879" w:rsidR="00C519F1" w:rsidRPr="00D649ED" w:rsidRDefault="00C519F1" w:rsidP="00C519F1">
      <w:pPr>
        <w:spacing w:line="259" w:lineRule="auto"/>
        <w:rPr>
          <w:rFonts w:eastAsia="Lato" w:cs="Lato"/>
          <w:color w:val="000000" w:themeColor="text1"/>
          <w:lang w:val="nl"/>
        </w:rPr>
      </w:pPr>
      <w:r w:rsidRPr="00D649ED">
        <w:rPr>
          <w:rFonts w:eastAsia="Lato" w:cs="Lato"/>
          <w:color w:val="000000" w:themeColor="text1"/>
          <w:lang w:val="nl"/>
        </w:rPr>
        <w:t xml:space="preserve">De </w:t>
      </w:r>
      <w:r>
        <w:rPr>
          <w:rFonts w:eastAsia="Lato" w:cs="Lato"/>
          <w:color w:val="000000" w:themeColor="text1"/>
          <w:lang w:val="nl"/>
        </w:rPr>
        <w:t>aanbesteders</w:t>
      </w:r>
      <w:r w:rsidRPr="00D649ED">
        <w:rPr>
          <w:rFonts w:eastAsia="Lato" w:cs="Lato"/>
          <w:color w:val="000000" w:themeColor="text1"/>
          <w:lang w:val="nl"/>
        </w:rPr>
        <w:t xml:space="preserve"> moeten rekening houden met een </w:t>
      </w:r>
      <w:r w:rsidRPr="009F0509">
        <w:rPr>
          <w:rFonts w:eastAsia="Lato" w:cs="Lato"/>
          <w:b/>
          <w:bCs/>
          <w:color w:val="000000" w:themeColor="text1"/>
          <w:lang w:val="nl"/>
        </w:rPr>
        <w:t>dubbele mededelingsplicht</w:t>
      </w:r>
      <w:r w:rsidRPr="00D649ED">
        <w:rPr>
          <w:rFonts w:eastAsia="Lato" w:cs="Lato"/>
          <w:color w:val="000000" w:themeColor="text1"/>
          <w:lang w:val="nl"/>
        </w:rPr>
        <w:t>, wat inhoudt dat de gemotiveerde beslissingen worden meegedeeld per fax, per e-mail of via de in de wet voorziene elektronische platformen of elektronische communicatiemiddelen, en dezelfde dag, per aangetekende zending.</w:t>
      </w:r>
    </w:p>
    <w:p w14:paraId="7DBBF7BC" w14:textId="46EA45F3" w:rsidR="00C519F1" w:rsidRPr="00D649ED" w:rsidRDefault="00C519F1" w:rsidP="00C519F1">
      <w:pPr>
        <w:spacing w:line="259" w:lineRule="auto"/>
        <w:rPr>
          <w:rFonts w:eastAsia="Lato" w:cs="Lato"/>
          <w:color w:val="000000" w:themeColor="text1"/>
          <w:lang w:val="nl"/>
        </w:rPr>
      </w:pPr>
      <w:r w:rsidRPr="00D649ED">
        <w:rPr>
          <w:rFonts w:eastAsia="Lato" w:cs="Lato"/>
          <w:color w:val="000000" w:themeColor="text1"/>
          <w:lang w:val="nl"/>
        </w:rPr>
        <w:lastRenderedPageBreak/>
        <w:t xml:space="preserve">De aanbestedende overheden moeten in hun mededelingen de </w:t>
      </w:r>
      <w:r w:rsidRPr="009F0509">
        <w:rPr>
          <w:rFonts w:eastAsia="Lato" w:cs="Lato"/>
          <w:b/>
          <w:bCs/>
          <w:color w:val="000000" w:themeColor="text1"/>
          <w:lang w:val="nl"/>
        </w:rPr>
        <w:t>rechtsmiddelen, de termijnen ervan en de bevoegde instanties vermelden</w:t>
      </w:r>
      <w:r w:rsidRPr="00D649ED">
        <w:rPr>
          <w:rFonts w:eastAsia="Lato" w:cs="Lato"/>
          <w:color w:val="000000" w:themeColor="text1"/>
          <w:lang w:val="nl"/>
        </w:rPr>
        <w:t>. Hiervoor kan worden gebruikgemaakt van de standaardformuleringen die zijn opgenomen in de typedocumenten</w:t>
      </w:r>
      <w:r>
        <w:rPr>
          <w:rFonts w:eastAsia="Lato" w:cs="Lato"/>
          <w:color w:val="000000" w:themeColor="text1"/>
          <w:lang w:val="nl"/>
        </w:rPr>
        <w:t xml:space="preserve"> (“templates")</w:t>
      </w:r>
      <w:r w:rsidRPr="00D649ED">
        <w:rPr>
          <w:rFonts w:eastAsia="Lato" w:cs="Lato"/>
          <w:color w:val="000000" w:themeColor="text1"/>
          <w:lang w:val="nl"/>
        </w:rPr>
        <w:t xml:space="preserve"> van de FOD BOSA (</w:t>
      </w:r>
      <w:hyperlink r:id="rId93" w:history="1">
        <w:r w:rsidRPr="00D649ED">
          <w:rPr>
            <w:rStyle w:val="Hyperlink"/>
            <w:rFonts w:eastAsia="Lato" w:cs="Lato"/>
            <w:lang w:val="nl"/>
          </w:rPr>
          <w:t>https://bosa.belgium.be/nl/themas/overheids-opdrachten/templates</w:t>
        </w:r>
      </w:hyperlink>
      <w:r w:rsidRPr="00D649ED">
        <w:rPr>
          <w:rFonts w:eastAsia="Lato" w:cs="Lato"/>
          <w:color w:val="000000" w:themeColor="text1"/>
          <w:lang w:val="nl"/>
        </w:rPr>
        <w:t>), waarbij in functie van de gekozen procedure en drempelbedragen verschillende clausules worde</w:t>
      </w:r>
      <w:r>
        <w:rPr>
          <w:rFonts w:eastAsia="Lato" w:cs="Lato"/>
          <w:color w:val="000000" w:themeColor="text1"/>
          <w:lang w:val="nl"/>
        </w:rPr>
        <w:t>n</w:t>
      </w:r>
      <w:r w:rsidRPr="00D649ED">
        <w:rPr>
          <w:rFonts w:eastAsia="Lato" w:cs="Lato"/>
          <w:color w:val="000000" w:themeColor="text1"/>
          <w:lang w:val="nl"/>
        </w:rPr>
        <w:t xml:space="preserve"> aangeboden. </w:t>
      </w:r>
    </w:p>
    <w:p w14:paraId="5C5804EE" w14:textId="77777777" w:rsidR="00196987" w:rsidRDefault="00196987">
      <w:pPr>
        <w:pStyle w:val="Kop2"/>
      </w:pPr>
      <w:r>
        <w:t xml:space="preserve"> </w:t>
      </w:r>
      <w:bookmarkStart w:id="194" w:name="_Toc135840013"/>
      <w:bookmarkStart w:id="195" w:name="_Toc150870618"/>
      <w:r>
        <w:t>Richtlijnen en instructies</w:t>
      </w:r>
      <w:bookmarkEnd w:id="194"/>
      <w:bookmarkEnd w:id="195"/>
    </w:p>
    <w:tbl>
      <w:tblPr>
        <w:tblStyle w:val="Tabelraster"/>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F41EC2" w:rsidRPr="00F41EC2" w14:paraId="64DFE5A0" w14:textId="77777777" w:rsidTr="004406F9">
        <w:tc>
          <w:tcPr>
            <w:tcW w:w="5000" w:type="pct"/>
            <w:shd w:val="clear" w:color="auto" w:fill="FBE4D5" w:themeFill="accent2" w:themeFillTint="33"/>
          </w:tcPr>
          <w:p w14:paraId="576550F7" w14:textId="77777777" w:rsidR="00F41EC2" w:rsidRPr="00FD5C8B" w:rsidRDefault="00F41EC2">
            <w:pPr>
              <w:pStyle w:val="Lijstnummering"/>
              <w:numPr>
                <w:ilvl w:val="0"/>
                <w:numId w:val="36"/>
              </w:numPr>
              <w:tabs>
                <w:tab w:val="clear" w:pos="360"/>
                <w:tab w:val="num" w:pos="306"/>
              </w:tabs>
              <w:ind w:left="306" w:hanging="306"/>
              <w:rPr>
                <w:rFonts w:eastAsia="Lato"/>
                <w:lang w:val="nl"/>
              </w:rPr>
            </w:pPr>
            <w:r w:rsidRPr="00FD5C8B">
              <w:rPr>
                <w:rFonts w:eastAsia="Lato"/>
                <w:lang w:val="nl"/>
              </w:rPr>
              <w:t>Aanbesteders moeten vertrekken van het principe dat een zo ruim als mogelijke</w:t>
            </w:r>
            <w:r w:rsidRPr="00FD5C8B">
              <w:rPr>
                <w:rFonts w:eastAsia="Lato"/>
              </w:rPr>
              <w:t xml:space="preserve"> </w:t>
            </w:r>
            <w:r w:rsidRPr="00FD5C8B">
              <w:rPr>
                <w:rFonts w:eastAsia="Lato"/>
                <w:lang w:val="nl"/>
              </w:rPr>
              <w:t xml:space="preserve">terugkoppeling naar (niet-)geselecteerde kandidaten en (niet-)weerhouden inschrijvers </w:t>
            </w:r>
          </w:p>
        </w:tc>
      </w:tr>
      <w:tr w:rsidR="00F41EC2" w:rsidRPr="00F41EC2" w14:paraId="4CD10619" w14:textId="77777777" w:rsidTr="004406F9">
        <w:tc>
          <w:tcPr>
            <w:tcW w:w="5000" w:type="pct"/>
            <w:shd w:val="clear" w:color="auto" w:fill="FBE4D5" w:themeFill="accent2" w:themeFillTint="33"/>
          </w:tcPr>
          <w:p w14:paraId="7C79196B" w14:textId="77777777" w:rsidR="00F41EC2" w:rsidRPr="003F713E" w:rsidRDefault="00F41EC2" w:rsidP="00513453">
            <w:pPr>
              <w:pStyle w:val="Bullet3"/>
              <w:rPr>
                <w:lang w:val="nl-BE"/>
              </w:rPr>
            </w:pPr>
            <w:r w:rsidRPr="003F713E">
              <w:rPr>
                <w:lang w:val="nl-BE"/>
              </w:rPr>
              <w:t xml:space="preserve">blijk geeft van het opvolgen van de wetten en principes van openbaarheid van bestuur en motivering van de bestuurshandelingen; </w:t>
            </w:r>
          </w:p>
        </w:tc>
      </w:tr>
      <w:tr w:rsidR="00F41EC2" w:rsidRPr="00F41EC2" w14:paraId="0064B3A8" w14:textId="77777777" w:rsidTr="004406F9">
        <w:tc>
          <w:tcPr>
            <w:tcW w:w="5000" w:type="pct"/>
            <w:shd w:val="clear" w:color="auto" w:fill="FBE4D5" w:themeFill="accent2" w:themeFillTint="33"/>
          </w:tcPr>
          <w:p w14:paraId="09E3BA09" w14:textId="77777777" w:rsidR="00F41EC2" w:rsidRPr="003F713E" w:rsidRDefault="00F41EC2" w:rsidP="00513453">
            <w:pPr>
              <w:pStyle w:val="Bullet3"/>
              <w:rPr>
                <w:lang w:val="nl-BE"/>
              </w:rPr>
            </w:pPr>
            <w:r w:rsidRPr="003F713E">
              <w:rPr>
                <w:lang w:val="nl-BE"/>
              </w:rPr>
              <w:t>en zowel voor de aanbesteder als de onderneming voordelen biedt, en dat in de vorm van meer kwaliteitsvolle offertes in de toekomst.</w:t>
            </w:r>
          </w:p>
        </w:tc>
      </w:tr>
      <w:tr w:rsidR="00F41EC2" w:rsidRPr="00F41EC2" w14:paraId="48469B56" w14:textId="77777777" w:rsidTr="004406F9">
        <w:tc>
          <w:tcPr>
            <w:tcW w:w="5000" w:type="pct"/>
            <w:shd w:val="clear" w:color="auto" w:fill="FBE4D5" w:themeFill="accent2" w:themeFillTint="33"/>
          </w:tcPr>
          <w:p w14:paraId="324CD2FA" w14:textId="77777777" w:rsidR="00F41EC2" w:rsidRPr="00F41EC2" w:rsidRDefault="00F41EC2">
            <w:pPr>
              <w:pStyle w:val="Lijstnummering"/>
              <w:rPr>
                <w:rFonts w:eastAsia="Lato"/>
                <w:lang w:val="nl"/>
              </w:rPr>
            </w:pPr>
            <w:r w:rsidRPr="00582D65">
              <w:rPr>
                <w:rFonts w:eastAsia="Lato"/>
                <w:b/>
                <w:bCs/>
                <w:color w:val="0070C0"/>
                <w:lang w:val="nl"/>
              </w:rPr>
              <w:t>Daarop voortbouwend: tenzij in uitzonderlijke gevallen verstuurt de aanbesteder dus ook voor de opdrachten waar het niet wettelijk verplicht is, spontaan een (relevante) terugkoppeling</w:t>
            </w:r>
            <w:r w:rsidRPr="00582D65">
              <w:rPr>
                <w:rFonts w:eastAsia="Lato"/>
                <w:color w:val="0070C0"/>
                <w:lang w:val="nl"/>
              </w:rPr>
              <w:t xml:space="preserve"> </w:t>
            </w:r>
            <w:r w:rsidRPr="00F41EC2">
              <w:rPr>
                <w:rFonts w:eastAsia="Lato"/>
                <w:lang w:val="nl"/>
              </w:rPr>
              <w:t xml:space="preserve">naar niet-geselecteerde kandidaten en niet-weerhouden inschrijvers. Voor de inhoud daarvan kan de aanbesteder zich baseren en inspireren op de gevallen waar het wel wettelijk verplicht is. </w:t>
            </w:r>
          </w:p>
        </w:tc>
      </w:tr>
      <w:tr w:rsidR="00F41EC2" w:rsidRPr="00F41EC2" w14:paraId="492B60C0" w14:textId="77777777" w:rsidTr="004406F9">
        <w:tc>
          <w:tcPr>
            <w:tcW w:w="5000" w:type="pct"/>
            <w:shd w:val="clear" w:color="auto" w:fill="FBE4D5" w:themeFill="accent2" w:themeFillTint="33"/>
          </w:tcPr>
          <w:p w14:paraId="57C2044A" w14:textId="77777777" w:rsidR="00F41EC2" w:rsidRPr="00F41EC2" w:rsidRDefault="00F41EC2">
            <w:pPr>
              <w:pStyle w:val="Lijstnummering"/>
              <w:rPr>
                <w:rStyle w:val="normaltextrun"/>
                <w:rFonts w:eastAsiaTheme="majorEastAsia"/>
                <w:color w:val="000000"/>
                <w:szCs w:val="20"/>
                <w:lang w:val="nl-NL"/>
              </w:rPr>
            </w:pPr>
            <w:r w:rsidRPr="00582D65">
              <w:rPr>
                <w:rFonts w:eastAsia="Lato"/>
                <w:b/>
                <w:bCs/>
                <w:color w:val="0070C0"/>
                <w:lang w:val="nl"/>
              </w:rPr>
              <w:t>In het geval dat de nieuwe toepassing in e-Procurement, met als doelstelling het herinneren van inschrijvers aan hun recht om feedback te vragen, geen automatisch karakter kent, maken aanbesteders er systematisch gebruik van – tenzij in uitzonderlijke gevallen.</w:t>
            </w:r>
            <w:r w:rsidRPr="00F41EC2">
              <w:rPr>
                <w:rFonts w:eastAsia="Lato"/>
                <w:lang w:val="nl"/>
              </w:rPr>
              <w:t xml:space="preserve"> Zij dienen dus ondernemingen via die nieuwe toepassing steeds te herinneren aan hun recht om feedback op te vragen en dat voor overheidsopdrachten met een waarde onder de Europese drempels. </w:t>
            </w:r>
            <w:r w:rsidRPr="00F41EC2">
              <w:rPr>
                <w:rStyle w:val="normaltextrun"/>
                <w:rFonts w:eastAsiaTheme="majorEastAsia"/>
                <w:color w:val="000000"/>
                <w:szCs w:val="20"/>
                <w:lang w:val="nl-NL"/>
              </w:rPr>
              <w:t xml:space="preserve">Een opvolging van het gebruik van de nieuwe toepassing in e-Procurement wordt voorzien.  </w:t>
            </w:r>
          </w:p>
        </w:tc>
      </w:tr>
      <w:tr w:rsidR="00F41EC2" w:rsidRPr="00F41EC2" w14:paraId="40B64AEC" w14:textId="77777777" w:rsidTr="004406F9">
        <w:tc>
          <w:tcPr>
            <w:tcW w:w="5000" w:type="pct"/>
            <w:shd w:val="clear" w:color="auto" w:fill="FBE4D5" w:themeFill="accent2" w:themeFillTint="33"/>
          </w:tcPr>
          <w:p w14:paraId="202B85BC" w14:textId="74BC2FCD" w:rsidR="00F41EC2" w:rsidRPr="00F41EC2" w:rsidRDefault="00F41EC2">
            <w:pPr>
              <w:pStyle w:val="Lijstnummering"/>
              <w:rPr>
                <w:rFonts w:eastAsia="Lato"/>
                <w:lang w:val="nl"/>
              </w:rPr>
            </w:pPr>
            <w:r w:rsidRPr="00F41EC2">
              <w:rPr>
                <w:rFonts w:eastAsia="Lato"/>
                <w:lang w:val="nl"/>
              </w:rPr>
              <w:t>Geef bij iedere mededeling aan de niet-geselecteerde kandidaten en de niet-weerhouden inschrijvers de juridische en feitelijke motieven voor hun niet-selectie of het niet weerhouden van hun offerte. Zorg ervoor dat die motieven in de genomen beslissingen berusten op feitelijke overwegingen.</w:t>
            </w:r>
          </w:p>
        </w:tc>
      </w:tr>
      <w:tr w:rsidR="00F41EC2" w:rsidRPr="00F41EC2" w14:paraId="3E9B622D" w14:textId="77777777" w:rsidTr="004406F9">
        <w:tc>
          <w:tcPr>
            <w:tcW w:w="5000" w:type="pct"/>
            <w:shd w:val="clear" w:color="auto" w:fill="FBE4D5" w:themeFill="accent2" w:themeFillTint="33"/>
          </w:tcPr>
          <w:p w14:paraId="2C652078" w14:textId="77777777" w:rsidR="00F41EC2" w:rsidRPr="00F41EC2" w:rsidRDefault="00F41EC2">
            <w:pPr>
              <w:pStyle w:val="Lijstnummering"/>
              <w:rPr>
                <w:rFonts w:eastAsia="Lato"/>
                <w:lang w:val="nl"/>
              </w:rPr>
            </w:pPr>
            <w:r w:rsidRPr="00F41EC2">
              <w:rPr>
                <w:rFonts w:eastAsia="Lato"/>
                <w:lang w:val="nl"/>
              </w:rPr>
              <w:t xml:space="preserve">Hou rekening met de dubbele mededelingsplicht. </w:t>
            </w:r>
          </w:p>
        </w:tc>
      </w:tr>
      <w:tr w:rsidR="00F41EC2" w:rsidRPr="00F41EC2" w14:paraId="57B76620" w14:textId="77777777" w:rsidTr="004406F9">
        <w:tc>
          <w:tcPr>
            <w:tcW w:w="5000" w:type="pct"/>
            <w:shd w:val="clear" w:color="auto" w:fill="FBE4D5" w:themeFill="accent2" w:themeFillTint="33"/>
          </w:tcPr>
          <w:p w14:paraId="6A12363B" w14:textId="664079D6" w:rsidR="00F41EC2" w:rsidRPr="00F41EC2" w:rsidRDefault="00F41EC2">
            <w:pPr>
              <w:pStyle w:val="Lijstnummering"/>
            </w:pPr>
            <w:r w:rsidRPr="00F41EC2">
              <w:rPr>
                <w:rFonts w:eastAsia="Lato"/>
                <w:lang w:val="nl"/>
              </w:rPr>
              <w:t>Vermeld de rechtsmiddelen, de termijnen en de bevoegde verhaalinstanties. Gebruik hiervoor de standaardclausules die zijn opgenomen in de typedocumenten van de FOD BOSA (</w:t>
            </w:r>
            <w:hyperlink r:id="rId94" w:history="1">
              <w:r w:rsidRPr="00F41EC2">
                <w:rPr>
                  <w:rStyle w:val="Hyperlink"/>
                  <w:szCs w:val="20"/>
                </w:rPr>
                <w:t>https://bosa.belgium.be/nl/themas/overheids-opdrachten/templates</w:t>
              </w:r>
            </w:hyperlink>
            <w:r w:rsidRPr="00F41EC2">
              <w:rPr>
                <w:rFonts w:eastAsia="Lato"/>
                <w:lang w:val="nl"/>
              </w:rPr>
              <w:t>).</w:t>
            </w:r>
          </w:p>
        </w:tc>
      </w:tr>
    </w:tbl>
    <w:p w14:paraId="343E3474" w14:textId="2FE34BED" w:rsidR="005D4EB7" w:rsidRDefault="005D4EB7" w:rsidP="00811CB5">
      <w:pPr>
        <w:pStyle w:val="Kop1"/>
      </w:pPr>
      <w:bookmarkStart w:id="196" w:name="_Toc132703180"/>
      <w:bookmarkStart w:id="197" w:name="_Toc135840014"/>
      <w:bookmarkStart w:id="198" w:name="_Toc150870619"/>
      <w:r>
        <w:t xml:space="preserve">Principe 12 – </w:t>
      </w:r>
      <w:bookmarkEnd w:id="196"/>
      <w:r w:rsidR="00811CB5" w:rsidRPr="00811CB5">
        <w:t xml:space="preserve">Kleine </w:t>
      </w:r>
      <w:r w:rsidR="00811CB5">
        <w:t>repetitieve</w:t>
      </w:r>
      <w:r w:rsidR="00811CB5" w:rsidRPr="00811CB5">
        <w:t xml:space="preserve"> opdrachten en opdrachten van beperkte waarde</w:t>
      </w:r>
      <w:bookmarkEnd w:id="197"/>
      <w:bookmarkEnd w:id="198"/>
    </w:p>
    <w:p w14:paraId="2FC17C0B" w14:textId="4B197D8D" w:rsidR="00196987" w:rsidRDefault="00196987">
      <w:pPr>
        <w:pStyle w:val="Kop2"/>
      </w:pPr>
      <w:r>
        <w:t xml:space="preserve"> </w:t>
      </w:r>
      <w:bookmarkStart w:id="199" w:name="_Toc135840015"/>
      <w:bookmarkStart w:id="200" w:name="_Toc150870620"/>
      <w:r>
        <w:t>Doelstelling</w:t>
      </w:r>
      <w:bookmarkEnd w:id="199"/>
      <w:bookmarkEnd w:id="200"/>
    </w:p>
    <w:p w14:paraId="30809D0B" w14:textId="77777777" w:rsidR="00ED035A" w:rsidRDefault="00937CB3" w:rsidP="00196987">
      <w:pPr>
        <w:rPr>
          <w:lang w:val="nl-NL"/>
        </w:rPr>
      </w:pPr>
      <w:r w:rsidRPr="00891B06">
        <w:rPr>
          <w:lang w:val="nl-NL"/>
        </w:rPr>
        <w:t>Een passende aanpak hanteren voor opdrachten van geringe omvang</w:t>
      </w:r>
      <w:r>
        <w:rPr>
          <w:lang w:val="nl-NL"/>
        </w:rPr>
        <w:t>,</w:t>
      </w:r>
      <w:r w:rsidRPr="00891B06">
        <w:rPr>
          <w:lang w:val="nl-NL"/>
        </w:rPr>
        <w:t xml:space="preserve"> zonder</w:t>
      </w:r>
      <w:r>
        <w:rPr>
          <w:lang w:val="nl-NL"/>
        </w:rPr>
        <w:t xml:space="preserve"> onder meer</w:t>
      </w:r>
      <w:r w:rsidRPr="00891B06">
        <w:rPr>
          <w:lang w:val="nl-NL"/>
        </w:rPr>
        <w:t xml:space="preserve"> bijkomende vormvereisten of voorwaarden op te leggen teneinde geen bijkomende kosten of barrières op te werpen die de interesse van de ondernemers voor de voorgenomen opdracht zou ontnemen. </w:t>
      </w:r>
    </w:p>
    <w:p w14:paraId="7322205C" w14:textId="410DD2D1" w:rsidR="00C01062" w:rsidRDefault="00937CB3" w:rsidP="00196987">
      <w:r w:rsidRPr="00891B06">
        <w:rPr>
          <w:lang w:val="nl-NL"/>
        </w:rPr>
        <w:t>Ga</w:t>
      </w:r>
      <w:r>
        <w:rPr>
          <w:lang w:val="nl-NL"/>
        </w:rPr>
        <w:t xml:space="preserve"> daarbij</w:t>
      </w:r>
      <w:r w:rsidRPr="00891B06">
        <w:rPr>
          <w:lang w:val="nl-NL"/>
        </w:rPr>
        <w:t xml:space="preserve"> na welk type procedure het meest toepasselijk is: gaat het om een opdracht van beperkte waarde of moet er</w:t>
      </w:r>
      <w:r>
        <w:rPr>
          <w:lang w:val="nl-NL"/>
        </w:rPr>
        <w:t>, gezien het repetitieve karakter van de opdracht,</w:t>
      </w:r>
      <w:r w:rsidRPr="00891B06">
        <w:rPr>
          <w:lang w:val="nl-NL"/>
        </w:rPr>
        <w:t xml:space="preserve"> geopteerd worden voor een raamovereenkomst of </w:t>
      </w:r>
      <w:r>
        <w:rPr>
          <w:lang w:val="nl-NL"/>
        </w:rPr>
        <w:t xml:space="preserve">voor </w:t>
      </w:r>
      <w:r w:rsidRPr="00891B06">
        <w:rPr>
          <w:lang w:val="nl-NL"/>
        </w:rPr>
        <w:t>een kwalificatiesysteem?</w:t>
      </w:r>
      <w:r>
        <w:rPr>
          <w:lang w:val="nl-NL"/>
        </w:rPr>
        <w:t xml:space="preserve"> Hou daarbij rekening met de impact</w:t>
      </w:r>
      <w:r w:rsidR="008206EA">
        <w:rPr>
          <w:lang w:val="nl-NL"/>
        </w:rPr>
        <w:t xml:space="preserve"> van die keuze</w:t>
      </w:r>
      <w:r>
        <w:rPr>
          <w:lang w:val="nl-NL"/>
        </w:rPr>
        <w:t xml:space="preserve"> op zowel de opdrachtnemer als de markt. </w:t>
      </w:r>
    </w:p>
    <w:p w14:paraId="09B34CA5" w14:textId="17DC3A92" w:rsidR="00196987" w:rsidRDefault="00196987" w:rsidP="00196987">
      <w:pPr>
        <w:pStyle w:val="Kop2"/>
      </w:pPr>
      <w:r>
        <w:lastRenderedPageBreak/>
        <w:t xml:space="preserve"> </w:t>
      </w:r>
      <w:bookmarkStart w:id="201" w:name="_Toc135840016"/>
      <w:bookmarkStart w:id="202" w:name="_Toc150870621"/>
      <w:r>
        <w:t>Wat zegt de reglementering overheidsopdrachten?</w:t>
      </w:r>
      <w:bookmarkEnd w:id="201"/>
      <w:bookmarkEnd w:id="202"/>
    </w:p>
    <w:p w14:paraId="46130148" w14:textId="5FA970D8" w:rsidR="00CF7B8B" w:rsidRPr="00891B06" w:rsidRDefault="00CF7B8B" w:rsidP="00CF7B8B">
      <w:pPr>
        <w:pStyle w:val="Kop3"/>
      </w:pPr>
      <w:r>
        <w:t xml:space="preserve"> </w:t>
      </w:r>
      <w:bookmarkStart w:id="203" w:name="_Toc135840017"/>
      <w:bookmarkStart w:id="204" w:name="_Toc150870622"/>
      <w:r w:rsidRPr="00891B06">
        <w:t xml:space="preserve">Overheidsopdrachten </w:t>
      </w:r>
      <w:r w:rsidR="001221DE">
        <w:t xml:space="preserve">van </w:t>
      </w:r>
      <w:r w:rsidRPr="00891B06">
        <w:t>beperkte waarde</w:t>
      </w:r>
      <w:bookmarkEnd w:id="203"/>
      <w:bookmarkEnd w:id="204"/>
    </w:p>
    <w:p w14:paraId="6224F7ED" w14:textId="312BB27C" w:rsidR="00CF7B8B" w:rsidRPr="00891B06" w:rsidRDefault="00095C50" w:rsidP="00CF7B8B">
      <w:r>
        <w:rPr>
          <w:lang w:val="nl-NL"/>
        </w:rPr>
        <w:t>Artikel 92 van d</w:t>
      </w:r>
      <w:r w:rsidR="00CF7B8B" w:rsidRPr="00891B06">
        <w:rPr>
          <w:lang w:val="nl-NL"/>
        </w:rPr>
        <w:t xml:space="preserve">e wet van </w:t>
      </w:r>
      <w:hyperlink r:id="rId95" w:history="1">
        <w:r w:rsidR="00CF7B8B" w:rsidRPr="00891B06">
          <w:rPr>
            <w:rStyle w:val="Hyperlink"/>
            <w:lang w:val="nl-NL"/>
          </w:rPr>
          <w:t>17 juni 2016</w:t>
        </w:r>
      </w:hyperlink>
      <w:r w:rsidR="00CF7B8B" w:rsidRPr="00891B06">
        <w:rPr>
          <w:lang w:val="nl-NL"/>
        </w:rPr>
        <w:t xml:space="preserve"> bepaalt dat de opdrachten </w:t>
      </w:r>
      <w:r w:rsidR="00CF7B8B" w:rsidRPr="00891B06">
        <w:rPr>
          <w:b/>
          <w:bCs/>
          <w:lang w:val="nl-NL"/>
        </w:rPr>
        <w:t>van beperkte waarde</w:t>
      </w:r>
      <w:r w:rsidR="00CF7B8B" w:rsidRPr="00C35E72">
        <w:rPr>
          <w:lang w:val="nl-NL"/>
        </w:rPr>
        <w:t>, namelijk</w:t>
      </w:r>
      <w:r w:rsidR="00CF7B8B">
        <w:rPr>
          <w:b/>
          <w:bCs/>
          <w:lang w:val="nl-NL"/>
        </w:rPr>
        <w:t xml:space="preserve"> </w:t>
      </w:r>
      <w:r w:rsidR="00CF7B8B" w:rsidRPr="00891B06">
        <w:rPr>
          <w:lang w:val="nl-NL"/>
        </w:rPr>
        <w:t xml:space="preserve">overheidsopdrachten </w:t>
      </w:r>
      <w:r w:rsidR="00CF7B8B">
        <w:rPr>
          <w:lang w:val="nl-NL"/>
        </w:rPr>
        <w:t>met een</w:t>
      </w:r>
      <w:r w:rsidR="00CF7B8B" w:rsidRPr="00891B06">
        <w:rPr>
          <w:lang w:val="nl-NL"/>
        </w:rPr>
        <w:t xml:space="preserve"> geraamde waarde lager dan 30.000 euro</w:t>
      </w:r>
      <w:r w:rsidR="00CF7B8B">
        <w:rPr>
          <w:lang w:val="nl-NL"/>
        </w:rPr>
        <w:t>,</w:t>
      </w:r>
      <w:r w:rsidR="00CF7B8B" w:rsidRPr="00891B06">
        <w:rPr>
          <w:lang w:val="nl-NL"/>
        </w:rPr>
        <w:t xml:space="preserve"> door de a</w:t>
      </w:r>
      <w:r w:rsidR="00CF7B8B">
        <w:rPr>
          <w:lang w:val="nl-NL"/>
        </w:rPr>
        <w:t>anbesteder</w:t>
      </w:r>
      <w:r w:rsidR="00CF7B8B" w:rsidRPr="00891B06">
        <w:rPr>
          <w:lang w:val="nl-NL"/>
        </w:rPr>
        <w:t xml:space="preserve"> geplaatst kunnen worden na raadpleging, indien mogelijk, van de voorwaarden van meerdere ondernemers, maar zonder dat om de indiening van offertes moet worden verzocht. Die opdrachten komen bijgevolg tot stand via een aanvaarde factuur. Het bewijs van die raadpleging moet door de </w:t>
      </w:r>
      <w:r w:rsidR="00CF7B8B">
        <w:rPr>
          <w:lang w:val="nl-NL"/>
        </w:rPr>
        <w:t>aanbesteder</w:t>
      </w:r>
      <w:r w:rsidR="00CF7B8B" w:rsidRPr="00891B06">
        <w:rPr>
          <w:lang w:val="nl-NL"/>
        </w:rPr>
        <w:t xml:space="preserve"> evenwel geleverd kunnen worden. </w:t>
      </w:r>
      <w:r w:rsidR="00CF7B8B" w:rsidRPr="00891B06">
        <w:t> </w:t>
      </w:r>
    </w:p>
    <w:p w14:paraId="3F4837F5" w14:textId="77777777" w:rsidR="00CF7B8B" w:rsidRPr="00891B06" w:rsidRDefault="00CF7B8B" w:rsidP="00CF7B8B">
      <w:r w:rsidRPr="00891B06">
        <w:rPr>
          <w:lang w:val="nl-NL"/>
        </w:rPr>
        <w:t>De opdrachten van beperkte waarde zijn</w:t>
      </w:r>
      <w:r>
        <w:rPr>
          <w:lang w:val="nl-NL"/>
        </w:rPr>
        <w:t>, inzake de wetgeving overheidsopdrachten,</w:t>
      </w:r>
      <w:r w:rsidRPr="00891B06">
        <w:rPr>
          <w:lang w:val="nl-NL"/>
        </w:rPr>
        <w:t xml:space="preserve"> </w:t>
      </w:r>
      <w:r>
        <w:rPr>
          <w:lang w:val="nl-NL"/>
        </w:rPr>
        <w:t>enkel</w:t>
      </w:r>
      <w:r w:rsidRPr="00891B06">
        <w:rPr>
          <w:lang w:val="nl-NL"/>
        </w:rPr>
        <w:t xml:space="preserve"> onderworpen aan de definities, de basisbeginselen van de wetgeving </w:t>
      </w:r>
      <w:r w:rsidRPr="00891B06">
        <w:rPr>
          <w:i/>
          <w:iCs/>
          <w:lang w:val="nl-NL"/>
        </w:rPr>
        <w:t>(met uitzondering van de bepaling</w:t>
      </w:r>
      <w:r>
        <w:rPr>
          <w:i/>
          <w:iCs/>
          <w:lang w:val="nl-NL"/>
        </w:rPr>
        <w:t>en</w:t>
      </w:r>
      <w:r w:rsidRPr="00891B06">
        <w:rPr>
          <w:i/>
          <w:iCs/>
          <w:lang w:val="nl-NL"/>
        </w:rPr>
        <w:t xml:space="preserve"> over het gebruik van elektronische communicatiemiddelen </w:t>
      </w:r>
      <w:r>
        <w:rPr>
          <w:i/>
          <w:iCs/>
          <w:lang w:val="nl-NL"/>
        </w:rPr>
        <w:t>en</w:t>
      </w:r>
      <w:r w:rsidRPr="00891B06">
        <w:rPr>
          <w:i/>
          <w:iCs/>
          <w:lang w:val="nl-NL"/>
        </w:rPr>
        <w:t xml:space="preserve"> het verstrekken van voorschotten),</w:t>
      </w:r>
      <w:r w:rsidRPr="00891B06">
        <w:rPr>
          <w:lang w:val="nl-NL"/>
        </w:rPr>
        <w:t xml:space="preserve"> alsook aan de ramingsregels.</w:t>
      </w:r>
      <w:r w:rsidRPr="00891B06">
        <w:t> </w:t>
      </w:r>
    </w:p>
    <w:p w14:paraId="50978B51" w14:textId="4AF86117" w:rsidR="00CF7B8B" w:rsidRPr="00891B06" w:rsidRDefault="00CF7B8B" w:rsidP="00CF7B8B">
      <w:r>
        <w:rPr>
          <w:lang w:val="nl-NL"/>
        </w:rPr>
        <w:t>Bovendien is v</w:t>
      </w:r>
      <w:r w:rsidRPr="00891B06">
        <w:rPr>
          <w:lang w:val="nl-NL"/>
        </w:rPr>
        <w:t xml:space="preserve">oor de opdrachten </w:t>
      </w:r>
      <w:r>
        <w:rPr>
          <w:lang w:val="nl-NL"/>
        </w:rPr>
        <w:t>van beperkte waarde</w:t>
      </w:r>
      <w:r w:rsidRPr="00891B06">
        <w:rPr>
          <w:lang w:val="nl-NL"/>
        </w:rPr>
        <w:t xml:space="preserve"> het koninklijk besluit van </w:t>
      </w:r>
      <w:hyperlink r:id="rId96" w:history="1">
        <w:r w:rsidRPr="00D4535B">
          <w:rPr>
            <w:rStyle w:val="Hyperlink"/>
            <w:lang w:val="nl-NL"/>
          </w:rPr>
          <w:t>14 januari 2013</w:t>
        </w:r>
      </w:hyperlink>
      <w:r w:rsidRPr="00891B06">
        <w:rPr>
          <w:lang w:val="nl-NL"/>
        </w:rPr>
        <w:t xml:space="preserve"> tot bepaling van de algemene uitvoeringsregels in zijn geheel niet</w:t>
      </w:r>
      <w:r>
        <w:rPr>
          <w:lang w:val="nl-NL"/>
        </w:rPr>
        <w:t xml:space="preserve"> van toepassing</w:t>
      </w:r>
      <w:r w:rsidRPr="00891B06">
        <w:rPr>
          <w:lang w:val="nl-NL"/>
        </w:rPr>
        <w:t>. </w:t>
      </w:r>
      <w:r w:rsidRPr="00891B06">
        <w:t> </w:t>
      </w:r>
      <w:r w:rsidRPr="00891B06">
        <w:rPr>
          <w:lang w:val="nl-NL"/>
        </w:rPr>
        <w:t xml:space="preserve">De ramingsregels zoals bepaald in het KB </w:t>
      </w:r>
      <w:r>
        <w:rPr>
          <w:lang w:val="nl-NL"/>
        </w:rPr>
        <w:t xml:space="preserve">Plaatsing </w:t>
      </w:r>
      <w:r w:rsidRPr="00891B06">
        <w:rPr>
          <w:lang w:val="nl-NL"/>
        </w:rPr>
        <w:t xml:space="preserve">van </w:t>
      </w:r>
      <w:hyperlink r:id="rId97" w:history="1">
        <w:r w:rsidRPr="007D75B5">
          <w:rPr>
            <w:rStyle w:val="Hyperlink"/>
            <w:lang w:val="nl-NL"/>
          </w:rPr>
          <w:t>18 april 2017</w:t>
        </w:r>
      </w:hyperlink>
      <w:r w:rsidRPr="00891B06">
        <w:rPr>
          <w:lang w:val="nl-NL"/>
        </w:rPr>
        <w:t xml:space="preserve"> zijn</w:t>
      </w:r>
      <w:r w:rsidR="0020353D">
        <w:rPr>
          <w:lang w:val="nl-NL"/>
        </w:rPr>
        <w:t xml:space="preserve"> dus</w:t>
      </w:r>
      <w:r w:rsidRPr="00891B06">
        <w:rPr>
          <w:lang w:val="nl-NL"/>
        </w:rPr>
        <w:t xml:space="preserve"> wel van toepassing. </w:t>
      </w:r>
    </w:p>
    <w:p w14:paraId="60C8900B" w14:textId="0725169B" w:rsidR="00CF7B8B" w:rsidRDefault="00CF7B8B" w:rsidP="00CF7B8B">
      <w:r>
        <w:t>Daarnaast stelt artikel 165 van de wet overheidsopdrachten, over statistische verplichtingen, dat u</w:t>
      </w:r>
      <w:r w:rsidRPr="00891B06">
        <w:t>iterlijk op 15 februari van elk jaar, de aanbesteders de totale waarde over</w:t>
      </w:r>
      <w:r>
        <w:t>maken</w:t>
      </w:r>
      <w:r w:rsidRPr="00891B06">
        <w:t xml:space="preserve"> van de opdrachten van beperkte waarde die het </w:t>
      </w:r>
      <w:r w:rsidRPr="000701A2">
        <w:rPr>
          <w:b/>
          <w:bCs/>
        </w:rPr>
        <w:t>voorafgaande</w:t>
      </w:r>
      <w:r w:rsidRPr="00891B06">
        <w:t xml:space="preserve"> jaar werden gesloten. De totale waarde van deze opdrachten wordt per begunstigde onderneming opgesplitst naargelang het gaat om opdrachten voor werken, leveringen of diensten. De registratie van de begunstigde onderneming gebeurt op basis van hun identificatienummer</w:t>
      </w:r>
      <w:r>
        <w:t xml:space="preserve"> (het ondernemingsnummer)</w:t>
      </w:r>
      <w:r w:rsidRPr="00891B06">
        <w:t xml:space="preserve">. </w:t>
      </w:r>
      <w:r w:rsidR="00E86B17">
        <w:t>De aanbesteders</w:t>
      </w:r>
      <w:r w:rsidR="00E86B17" w:rsidRPr="00891B06">
        <w:t xml:space="preserve"> </w:t>
      </w:r>
      <w:r w:rsidRPr="00891B06">
        <w:t xml:space="preserve">maken hiervoor gebruik van </w:t>
      </w:r>
      <w:r w:rsidR="00842511">
        <w:t>de</w:t>
      </w:r>
      <w:r w:rsidR="00842511" w:rsidRPr="00891B06">
        <w:t xml:space="preserve"> </w:t>
      </w:r>
      <w:r w:rsidRPr="00891B06">
        <w:t>elektronisch</w:t>
      </w:r>
      <w:r w:rsidR="00E86B17">
        <w:t>e</w:t>
      </w:r>
      <w:r w:rsidRPr="00891B06">
        <w:t xml:space="preserve"> </w:t>
      </w:r>
      <w:r w:rsidR="00842511">
        <w:t>mogelijkheden</w:t>
      </w:r>
      <w:r w:rsidRPr="00891B06">
        <w:t xml:space="preserve"> </w:t>
      </w:r>
      <w:r>
        <w:t>ter beschikking gesteld door de FOD BOSA</w:t>
      </w:r>
      <w:r w:rsidRPr="00891B06">
        <w:t>. Deze</w:t>
      </w:r>
      <w:r>
        <w:t xml:space="preserve"> nieuwe</w:t>
      </w:r>
      <w:r w:rsidRPr="00891B06">
        <w:t xml:space="preserve"> paragraaf</w:t>
      </w:r>
      <w:r>
        <w:t xml:space="preserve">, geïntroduceerd via de wet van </w:t>
      </w:r>
      <w:hyperlink r:id="rId98" w:history="1">
        <w:r w:rsidRPr="009332E2">
          <w:rPr>
            <w:rStyle w:val="Hyperlink"/>
          </w:rPr>
          <w:t>8 februari 2023</w:t>
        </w:r>
      </w:hyperlink>
      <w:r>
        <w:t>,</w:t>
      </w:r>
      <w:r w:rsidRPr="00891B06">
        <w:t xml:space="preserve"> is niet van toepassing op de opdrachten waarvan het gunningsbedrag lager is dan 3.000 euro.</w:t>
      </w:r>
    </w:p>
    <w:p w14:paraId="094AEC3D" w14:textId="77777777" w:rsidR="00CF7B8B" w:rsidRPr="00891B06" w:rsidRDefault="00CF7B8B" w:rsidP="00CF7B8B">
      <w:r w:rsidRPr="00891B06">
        <w:t xml:space="preserve">Deze </w:t>
      </w:r>
      <w:r>
        <w:t xml:space="preserve">nieuwe </w:t>
      </w:r>
      <w:r w:rsidRPr="00891B06">
        <w:t>verplichting treedt in wer</w:t>
      </w:r>
      <w:r>
        <w:t>k</w:t>
      </w:r>
      <w:r w:rsidRPr="00891B06">
        <w:t xml:space="preserve">ing op 1 januari 2025, ook voor de lopende opdrachten en raamovereenkomsten die op dat moment nog niet werden gegund. </w:t>
      </w:r>
      <w:r w:rsidRPr="00301618">
        <w:rPr>
          <w:b/>
          <w:bCs/>
        </w:rPr>
        <w:t>Concreet betekent dit dat de aanbesteder vanaf 1 januari 2024 de nodige gegevens moet beginnen bijhouden</w:t>
      </w:r>
      <w:r w:rsidRPr="001E12BA">
        <w:rPr>
          <w:b/>
          <w:bCs/>
        </w:rPr>
        <w:t>.</w:t>
      </w:r>
      <w:r>
        <w:t xml:space="preserve"> </w:t>
      </w:r>
    </w:p>
    <w:p w14:paraId="1A558567" w14:textId="77777777" w:rsidR="00CF7B8B" w:rsidRPr="00891B06" w:rsidRDefault="00CF7B8B" w:rsidP="00CF7B8B">
      <w:r w:rsidRPr="00891B06">
        <w:rPr>
          <w:lang w:val="nl-NL"/>
        </w:rPr>
        <w:t xml:space="preserve">Aangezien opdrachten van beperkte waarde vaak betrekking hebben op leveringen en diensten die met een zekere regelmaat worden besteld, is het nuttig te verwijzen naar de bepaling </w:t>
      </w:r>
      <w:r>
        <w:rPr>
          <w:lang w:val="nl-NL"/>
        </w:rPr>
        <w:t xml:space="preserve">van artikel 7 </w:t>
      </w:r>
      <w:r w:rsidRPr="00891B06">
        <w:rPr>
          <w:lang w:val="nl-NL"/>
        </w:rPr>
        <w:t>uit het KB</w:t>
      </w:r>
      <w:r>
        <w:rPr>
          <w:lang w:val="nl-NL"/>
        </w:rPr>
        <w:t xml:space="preserve"> Plaatsing</w:t>
      </w:r>
      <w:r w:rsidRPr="00891B06">
        <w:rPr>
          <w:lang w:val="nl-NL"/>
        </w:rPr>
        <w:t xml:space="preserve"> die stelt dat </w:t>
      </w:r>
      <w:r w:rsidRPr="000C7B0D">
        <w:rPr>
          <w:b/>
          <w:bCs/>
          <w:lang w:val="nl-NL"/>
        </w:rPr>
        <w:t>in het geval van overheidsopdrachten voor leveringen of voor diensten die met een zekere regelmaat worden verleend</w:t>
      </w:r>
      <w:r w:rsidRPr="00891B06">
        <w:rPr>
          <w:lang w:val="nl-NL"/>
        </w:rPr>
        <w:t xml:space="preserve"> of die bestemd zijn om binnen een bepaalde termijn te worden hernieuwd, de berekening van de geraamde waarde van de opdracht op de volgende grondslag wordt berekend:</w:t>
      </w:r>
      <w:r w:rsidRPr="00891B06">
        <w:t> </w:t>
      </w:r>
    </w:p>
    <w:p w14:paraId="5DEB7E75" w14:textId="77777777" w:rsidR="00CF7B8B" w:rsidRPr="00891B06" w:rsidRDefault="00CF7B8B" w:rsidP="002129A4">
      <w:pPr>
        <w:pStyle w:val="Bullet1"/>
        <w:rPr>
          <w:lang w:val="nl-BE"/>
        </w:rPr>
      </w:pPr>
      <w:r w:rsidRPr="00DA42A8">
        <w:rPr>
          <w:lang w:val="nl-BE"/>
        </w:rPr>
        <w:t>ofwel de totale reële waarde van de tijdens het voorafgaande boekjaar of tijdens de voorafgaande twaalf maanden geplaatste soortgelijke opeenvolgende opdrachten, indien mogelijk gecorrigeerd voor verwachte wijzigingen in hoeveelheid of waarde gedurende de twaalf maanden volgend op de eerste opdracht</w:t>
      </w:r>
      <w:r>
        <w:rPr>
          <w:lang w:val="nl-BE"/>
        </w:rPr>
        <w:t>;</w:t>
      </w:r>
    </w:p>
    <w:p w14:paraId="2E5F37A1" w14:textId="77777777" w:rsidR="00CF7B8B" w:rsidRPr="000805F8" w:rsidRDefault="00CF7B8B" w:rsidP="002129A4">
      <w:pPr>
        <w:pStyle w:val="Bullet1"/>
        <w:rPr>
          <w:lang w:val="nl-BE"/>
        </w:rPr>
      </w:pPr>
      <w:r w:rsidRPr="00DA42A8">
        <w:rPr>
          <w:lang w:val="nl-BE"/>
        </w:rPr>
        <w:t>ofwel de totale geraamde waarde van de opeenvolgende opdrachten die geplaatst worden gedurende de twaalf maanden volgend op de eerste levering, of gedurende het boekjaar, indien dat zich over meer dan twaalf maanden uitstrekt.</w:t>
      </w:r>
      <w:r w:rsidRPr="000805F8">
        <w:rPr>
          <w:lang w:val="nl-BE"/>
        </w:rPr>
        <w:t> </w:t>
      </w:r>
    </w:p>
    <w:p w14:paraId="15E5EF43" w14:textId="3AC95EC6" w:rsidR="00CF7B8B" w:rsidRPr="00891B06" w:rsidRDefault="00CF7B8B" w:rsidP="00CF7B8B">
      <w:pPr>
        <w:pStyle w:val="Kop3"/>
      </w:pPr>
      <w:r>
        <w:t xml:space="preserve"> </w:t>
      </w:r>
      <w:bookmarkStart w:id="205" w:name="_Toc135840018"/>
      <w:bookmarkStart w:id="206" w:name="_Toc150870623"/>
      <w:r>
        <w:t>De r</w:t>
      </w:r>
      <w:r w:rsidRPr="00891B06">
        <w:t>aamovereenkomst</w:t>
      </w:r>
      <w:bookmarkEnd w:id="205"/>
      <w:bookmarkEnd w:id="206"/>
    </w:p>
    <w:p w14:paraId="311893AA" w14:textId="77777777" w:rsidR="00CF7B8B" w:rsidRDefault="00CF7B8B" w:rsidP="00CF7B8B">
      <w:r w:rsidRPr="00891B06">
        <w:t>Een raamovereenkomst omvat een overeenkomst tussen een of meer aanbesteders en een of meer ondernemers met het doel gedurende een bepaalde periode de voorwaarden inzake te plaatsen opdrachten vast te leggen, met name wat betreft de prijzen en eventueel de beoogde hoeveelheden.</w:t>
      </w:r>
    </w:p>
    <w:p w14:paraId="16E5AEB0" w14:textId="132E98BC" w:rsidR="00CF7B8B" w:rsidRDefault="007D341B" w:rsidP="00CF7B8B">
      <w:r>
        <w:t>Een</w:t>
      </w:r>
      <w:r w:rsidR="00CF7B8B">
        <w:t xml:space="preserve"> reglementair kader voor raamovereenkomsten, inclusief hoe dat moet worden toegepast door federale aanbesteders, kan gevonden worden in de omzendbrief van </w:t>
      </w:r>
      <w:hyperlink r:id="rId99" w:anchor="Page144" w:history="1">
        <w:r w:rsidR="00CF7B8B" w:rsidRPr="00795F7B">
          <w:rPr>
            <w:rStyle w:val="Hyperlink"/>
          </w:rPr>
          <w:t>28 juni 2022</w:t>
        </w:r>
      </w:hyperlink>
      <w:r w:rsidR="00CF7B8B">
        <w:t xml:space="preserve"> </w:t>
      </w:r>
      <w:r w:rsidR="00CF7B8B" w:rsidRPr="00457599">
        <w:t>betreffende de praktische modaliteiten van de plaatsing en de uitvoering van de raamovereenkomst in de context van federale aankopen</w:t>
      </w:r>
      <w:r w:rsidR="00CF7B8B">
        <w:t>.</w:t>
      </w:r>
    </w:p>
    <w:p w14:paraId="473A4535" w14:textId="40E763D9" w:rsidR="00845DA6" w:rsidRPr="00891B06" w:rsidRDefault="00845DA6" w:rsidP="00CF7B8B">
      <w:r>
        <w:t>Daarnaast</w:t>
      </w:r>
      <w:r w:rsidR="00D1589A">
        <w:t xml:space="preserve"> moeten federale aanbesteders eveneens het </w:t>
      </w:r>
      <w:r w:rsidR="00043BD8">
        <w:t>reglementaire</w:t>
      </w:r>
      <w:r w:rsidR="00D958E9">
        <w:t xml:space="preserve"> kader</w:t>
      </w:r>
      <w:r w:rsidR="00043BD8">
        <w:t xml:space="preserve"> geschetst door het KB van </w:t>
      </w:r>
      <w:hyperlink r:id="rId100" w:history="1">
        <w:r w:rsidR="00043BD8" w:rsidRPr="00A02AED">
          <w:rPr>
            <w:rStyle w:val="Hyperlink"/>
          </w:rPr>
          <w:t>21 juli 2023</w:t>
        </w:r>
      </w:hyperlink>
      <w:r w:rsidR="00BF0919">
        <w:t xml:space="preserve"> inzake </w:t>
      </w:r>
      <w:r w:rsidR="00AC1F68" w:rsidRPr="00AC1F68">
        <w:t>de federaal gecentraliseerde overheidsopdrachten</w:t>
      </w:r>
      <w:r w:rsidR="00490CB8">
        <w:t xml:space="preserve"> in het kader van het </w:t>
      </w:r>
      <w:r w:rsidR="00490CB8">
        <w:lastRenderedPageBreak/>
        <w:t>federale aankoopbeleid</w:t>
      </w:r>
      <w:r w:rsidR="00BA17FD">
        <w:t xml:space="preserve"> re</w:t>
      </w:r>
      <w:r w:rsidR="00E762C8">
        <w:t>specteren, meer bepaald de bepalingen over het gebruik van raamovereenkomsten in het kader van gemeenschappelijke behoeften</w:t>
      </w:r>
      <w:r w:rsidR="00FE5DCA">
        <w:t xml:space="preserve"> en overeenkomsten. </w:t>
      </w:r>
    </w:p>
    <w:p w14:paraId="046B45D2" w14:textId="418B06BC" w:rsidR="00CF7B8B" w:rsidRPr="00891B06" w:rsidRDefault="00CF7B8B" w:rsidP="00CF7B8B">
      <w:pPr>
        <w:pStyle w:val="Kop3"/>
      </w:pPr>
      <w:r>
        <w:t xml:space="preserve"> </w:t>
      </w:r>
      <w:bookmarkStart w:id="207" w:name="_Toc135840019"/>
      <w:bookmarkStart w:id="208" w:name="_Toc150870624"/>
      <w:r>
        <w:t>Het k</w:t>
      </w:r>
      <w:r w:rsidRPr="00891B06">
        <w:t>walificatiesysteem</w:t>
      </w:r>
      <w:bookmarkEnd w:id="207"/>
      <w:bookmarkEnd w:id="208"/>
    </w:p>
    <w:p w14:paraId="22623F64" w14:textId="16D1C022" w:rsidR="00CF7B8B" w:rsidRDefault="00CF7B8B" w:rsidP="00CF7B8B">
      <w:r w:rsidRPr="002226ED">
        <w:t xml:space="preserve">Het kwalificatiesysteem is een continu en voor alle marktspelers open systeem, dat blijft bestaan tot de </w:t>
      </w:r>
      <w:r w:rsidR="003E381D">
        <w:t>aanbesteder</w:t>
      </w:r>
      <w:r w:rsidRPr="002226ED">
        <w:t xml:space="preserve"> het opheft.</w:t>
      </w:r>
      <w:r>
        <w:t xml:space="preserve"> </w:t>
      </w:r>
      <w:r w:rsidRPr="00F3621B">
        <w:t>Door middel van een kwalificatiesysteem kan de aanbesteder de selectiefase generiek maken voor een reeks vergelijkbare opdrachten gedurende een bepaalde looptijd.</w:t>
      </w:r>
    </w:p>
    <w:p w14:paraId="2E26985A" w14:textId="77777777" w:rsidR="00CF7B8B" w:rsidRDefault="00CF7B8B" w:rsidP="00CF7B8B">
      <w:r>
        <w:t xml:space="preserve">Het systeem kent een specifiek toepassingsgebied, met name de niet-openbare procedure en de mededingingsprocedure met onderhandeling, en dat onder de Europese bekendmakingsdrempels. </w:t>
      </w:r>
    </w:p>
    <w:p w14:paraId="244A00F2" w14:textId="4B79420D" w:rsidR="00CF7B8B" w:rsidRDefault="00CF7B8B" w:rsidP="00196987">
      <w:r w:rsidRPr="00891B06">
        <w:t xml:space="preserve">De </w:t>
      </w:r>
      <w:r>
        <w:t>aanbesteder</w:t>
      </w:r>
      <w:r w:rsidRPr="00891B06">
        <w:t xml:space="preserve"> die een kwalificatiesysteem invoert of beheert, zorgt ervoor dat ondernemers te</w:t>
      </w:r>
      <w:r>
        <w:t>n</w:t>
      </w:r>
      <w:r w:rsidRPr="00891B06">
        <w:t xml:space="preserve"> allen tijde kunnen aanvragen om gekwalificeerd te worden. Het systeem kan verschillende fasen van erkenning van geschiktheid omvatten. De aanbestedende entiteiten voorzien in objectieve regels en criteria voor de uitsluiting en selectie van ondernemers die aanvragen om gekwalificeerd</w:t>
      </w:r>
      <w:r>
        <w:t xml:space="preserve"> (geselecteerd)</w:t>
      </w:r>
      <w:r w:rsidRPr="00891B06">
        <w:t xml:space="preserve"> te worden</w:t>
      </w:r>
      <w:r w:rsidR="00EF48E2">
        <w:t>,</w:t>
      </w:r>
      <w:r w:rsidRPr="00891B06">
        <w:t xml:space="preserve"> alsmede objectieve regels en criteria voor het beheer van het kwalificatiesysteem met betrekking tot aangelegenheden</w:t>
      </w:r>
      <w:r>
        <w:t>; zo</w:t>
      </w:r>
      <w:r w:rsidRPr="00891B06">
        <w:t>als de inschrijving in het systeem, eventuele periodieke bijwerking van de erkenningen en de looptijd van de regeling.</w:t>
      </w:r>
    </w:p>
    <w:p w14:paraId="3E8FFCAE" w14:textId="77777777" w:rsidR="00196987" w:rsidRDefault="00196987">
      <w:pPr>
        <w:pStyle w:val="Kop2"/>
      </w:pPr>
      <w:r>
        <w:t xml:space="preserve"> </w:t>
      </w:r>
      <w:bookmarkStart w:id="209" w:name="_Toc135840020"/>
      <w:bookmarkStart w:id="210" w:name="_Toc150870625"/>
      <w:r>
        <w:t>Toelichting</w:t>
      </w:r>
      <w:bookmarkEnd w:id="209"/>
      <w:bookmarkEnd w:id="210"/>
    </w:p>
    <w:p w14:paraId="732CFCB1" w14:textId="0F0CE14E" w:rsidR="00C810A8" w:rsidRPr="00064046" w:rsidRDefault="00C810A8" w:rsidP="00C810A8">
      <w:pPr>
        <w:pStyle w:val="Kop3"/>
      </w:pPr>
      <w:r>
        <w:t xml:space="preserve"> </w:t>
      </w:r>
      <w:bookmarkStart w:id="211" w:name="_Toc135840021"/>
      <w:bookmarkStart w:id="212" w:name="_Toc150870626"/>
      <w:r w:rsidRPr="00064046">
        <w:t>Overheidsopdrachten van beperkte waarde</w:t>
      </w:r>
      <w:bookmarkEnd w:id="211"/>
      <w:bookmarkEnd w:id="212"/>
    </w:p>
    <w:p w14:paraId="1FE7004C" w14:textId="77777777" w:rsidR="00C810A8" w:rsidRDefault="00C810A8" w:rsidP="00C810A8">
      <w:r w:rsidRPr="00891B06">
        <w:rPr>
          <w:lang w:val="nl-NL"/>
        </w:rPr>
        <w:t xml:space="preserve">De algemene beginselen van transparantie en mededinging zijn van toepassing voor de </w:t>
      </w:r>
      <w:r w:rsidRPr="00696CFE">
        <w:rPr>
          <w:b/>
          <w:bCs/>
          <w:lang w:val="nl-NL"/>
        </w:rPr>
        <w:t>opdrachten van beperkte waarde</w:t>
      </w:r>
      <w:r w:rsidRPr="006A09DD">
        <w:rPr>
          <w:b/>
          <w:bCs/>
          <w:lang w:val="nl-NL"/>
        </w:rPr>
        <w:t>, de opdrachten die dus kunnen tot stand komen via een aanvaarde factuur</w:t>
      </w:r>
      <w:r w:rsidRPr="00891B06">
        <w:rPr>
          <w:lang w:val="nl-NL"/>
        </w:rPr>
        <w:t xml:space="preserve">. </w:t>
      </w:r>
      <w:r>
        <w:rPr>
          <w:lang w:val="nl-NL"/>
        </w:rPr>
        <w:t>E</w:t>
      </w:r>
      <w:r w:rsidRPr="00891B06">
        <w:rPr>
          <w:lang w:val="nl-NL"/>
        </w:rPr>
        <w:t>en eenvoudige raadpleging die erop gericht is de voorwaarden van een eventuele aankoop te kennen, volstaat. Het komt de aanbestedende overheid toe het bewijs te kunnen leveren dat zij aan de principiële verplichting tot inmededingingstelling heeft voldaan. Daartoe wordt aanbevolen het bewijs van de raadpleging in het administratieve dossier te bewaren, zij het eventueel gedematerialiseerd. </w:t>
      </w:r>
      <w:r w:rsidRPr="00891B06">
        <w:t> </w:t>
      </w:r>
    </w:p>
    <w:p w14:paraId="7C032FF5" w14:textId="58534F4E" w:rsidR="00C810A8" w:rsidRPr="00891B06" w:rsidRDefault="00C810A8" w:rsidP="00C810A8">
      <w:r w:rsidRPr="00891B06">
        <w:rPr>
          <w:lang w:val="nl-NL"/>
        </w:rPr>
        <w:t>Hoewel niet verplicht, kan ook uitdrukkelijk een offerte of prijsaanvraag worden gevraagd, zij het via de meest eenvoudige weg (e-mail,</w:t>
      </w:r>
      <w:r>
        <w:rPr>
          <w:lang w:val="nl-NL"/>
        </w:rPr>
        <w:t>.</w:t>
      </w:r>
      <w:r w:rsidRPr="00891B06">
        <w:rPr>
          <w:lang w:val="nl-NL"/>
        </w:rPr>
        <w:t xml:space="preserve">..). Dat vergemakkelijkt de bedoelde bewijsvoering, laat toe om de aankoopvoorwaarden beter te kaderen, onzekerheden over de verbintenissen van de ondernemer weg te werken en laat dikwijls toe om beter aangepaste en </w:t>
      </w:r>
      <w:r w:rsidR="00D94F1C">
        <w:rPr>
          <w:lang w:val="nl-NL"/>
        </w:rPr>
        <w:t>meer voordelige</w:t>
      </w:r>
      <w:r w:rsidR="00D94F1C" w:rsidRPr="00891B06">
        <w:rPr>
          <w:lang w:val="nl-NL"/>
        </w:rPr>
        <w:t xml:space="preserve"> </w:t>
      </w:r>
      <w:r w:rsidRPr="00891B06">
        <w:rPr>
          <w:lang w:val="nl-NL"/>
        </w:rPr>
        <w:t>offertes te verkrijgen. Uiteraard blijven de uitzonderlijke gevallen waarbij het niet nodig is meerdere ondernemers te consulteren van toepassing (b</w:t>
      </w:r>
      <w:r>
        <w:rPr>
          <w:lang w:val="nl-NL"/>
        </w:rPr>
        <w:t>ijvoorbeeld bij een</w:t>
      </w:r>
      <w:r w:rsidRPr="00891B06">
        <w:rPr>
          <w:lang w:val="nl-NL"/>
        </w:rPr>
        <w:t xml:space="preserve"> monopoliesituatie).</w:t>
      </w:r>
      <w:r w:rsidRPr="00891B06">
        <w:t> </w:t>
      </w:r>
    </w:p>
    <w:p w14:paraId="2153CDBB" w14:textId="70EF4D7E" w:rsidR="00C810A8" w:rsidRPr="00891B06" w:rsidRDefault="00B241A0" w:rsidP="00C810A8">
      <w:r w:rsidRPr="00891B06">
        <w:rPr>
          <w:lang w:val="nl-NL"/>
        </w:rPr>
        <w:t>Prijs</w:t>
      </w:r>
      <w:r>
        <w:rPr>
          <w:lang w:val="nl-NL"/>
        </w:rPr>
        <w:t>-</w:t>
      </w:r>
      <w:r w:rsidRPr="00891B06">
        <w:rPr>
          <w:lang w:val="nl-NL"/>
        </w:rPr>
        <w:t xml:space="preserve"> </w:t>
      </w:r>
      <w:r w:rsidR="00C810A8" w:rsidRPr="00891B06">
        <w:rPr>
          <w:lang w:val="nl-NL"/>
        </w:rPr>
        <w:t>of offerteaanvragen kunnen best via de meest eenvoudige weg gebeuren (b</w:t>
      </w:r>
      <w:r w:rsidR="00C810A8">
        <w:rPr>
          <w:lang w:val="nl-NL"/>
        </w:rPr>
        <w:t>ijvoorbeeld via</w:t>
      </w:r>
      <w:r w:rsidR="00C810A8" w:rsidRPr="00891B06">
        <w:rPr>
          <w:lang w:val="nl-NL"/>
        </w:rPr>
        <w:t xml:space="preserve"> e-mail</w:t>
      </w:r>
      <w:r w:rsidR="00C810A8">
        <w:rPr>
          <w:lang w:val="nl-NL"/>
        </w:rPr>
        <w:t xml:space="preserve">) </w:t>
      </w:r>
      <w:r w:rsidR="00C810A8" w:rsidRPr="007B03EB">
        <w:rPr>
          <w:b/>
          <w:bCs/>
          <w:lang w:val="nl-NL"/>
        </w:rPr>
        <w:t xml:space="preserve">zonder hier </w:t>
      </w:r>
      <w:r w:rsidR="00C810A8" w:rsidRPr="007B03EB">
        <w:rPr>
          <w:b/>
          <w:bCs/>
          <w:iCs/>
          <w:lang w:val="nl-NL"/>
        </w:rPr>
        <w:t>bijkomende</w:t>
      </w:r>
      <w:r w:rsidR="00C810A8" w:rsidRPr="007B03EB">
        <w:rPr>
          <w:b/>
          <w:bCs/>
          <w:i/>
          <w:lang w:val="nl-NL"/>
        </w:rPr>
        <w:t xml:space="preserve"> </w:t>
      </w:r>
      <w:r w:rsidR="00C810A8" w:rsidRPr="007B03EB">
        <w:rPr>
          <w:b/>
          <w:bCs/>
          <w:lang w:val="nl-NL"/>
        </w:rPr>
        <w:t>vormvereisten op te leggen</w:t>
      </w:r>
      <w:r w:rsidR="00C810A8" w:rsidRPr="00891B06">
        <w:rPr>
          <w:lang w:val="nl-NL"/>
        </w:rPr>
        <w:t xml:space="preserve"> (b</w:t>
      </w:r>
      <w:r w:rsidR="00C810A8">
        <w:rPr>
          <w:lang w:val="nl-NL"/>
        </w:rPr>
        <w:t>ijvoorbeeld een</w:t>
      </w:r>
      <w:r w:rsidR="00C810A8" w:rsidRPr="00891B06">
        <w:rPr>
          <w:lang w:val="nl-NL"/>
        </w:rPr>
        <w:t xml:space="preserve"> </w:t>
      </w:r>
      <w:r w:rsidR="00C810A8">
        <w:rPr>
          <w:lang w:val="nl-NL"/>
        </w:rPr>
        <w:t>h</w:t>
      </w:r>
      <w:r w:rsidR="00C810A8" w:rsidRPr="00891B06">
        <w:rPr>
          <w:lang w:val="nl-NL"/>
        </w:rPr>
        <w:t>andtekening</w:t>
      </w:r>
      <w:r w:rsidR="00C810A8">
        <w:rPr>
          <w:lang w:val="nl-NL"/>
        </w:rPr>
        <w:t xml:space="preserve"> van de</w:t>
      </w:r>
      <w:r w:rsidR="00C810A8" w:rsidRPr="00891B06">
        <w:rPr>
          <w:lang w:val="nl-NL"/>
        </w:rPr>
        <w:t xml:space="preserve"> offerte). Dat houdt de administratieve kosten voor de ondernemingen</w:t>
      </w:r>
      <w:r w:rsidR="00C810A8">
        <w:rPr>
          <w:lang w:val="nl-NL"/>
        </w:rPr>
        <w:t xml:space="preserve"> (heel)</w:t>
      </w:r>
      <w:r w:rsidR="00C810A8" w:rsidRPr="00891B06">
        <w:rPr>
          <w:lang w:val="nl-NL"/>
        </w:rPr>
        <w:t xml:space="preserve"> beperkt. </w:t>
      </w:r>
      <w:r w:rsidR="00C810A8" w:rsidRPr="00891B06">
        <w:t> </w:t>
      </w:r>
    </w:p>
    <w:p w14:paraId="27083F00" w14:textId="3BE2C892" w:rsidR="00C810A8" w:rsidRPr="00891B06" w:rsidRDefault="00C810A8" w:rsidP="00C810A8">
      <w:r w:rsidRPr="00891B06">
        <w:rPr>
          <w:lang w:val="nl-NL"/>
        </w:rPr>
        <w:t xml:space="preserve">Opdrachten van beperkte waarde zijn niet onderworpen aan bepalingen van de algemene uitvoeringsregels van overheidsopdrachten. Bijkomende voorwaarden opleggen of het toepasselijk maken van bepalingen uit de algemene uitvoeringsregels zou leiden tot bijkomende barrières </w:t>
      </w:r>
      <w:r w:rsidR="00743CF6">
        <w:rPr>
          <w:lang w:val="nl-NL"/>
        </w:rPr>
        <w:t>voor</w:t>
      </w:r>
      <w:r w:rsidRPr="00891B06">
        <w:rPr>
          <w:lang w:val="nl-NL"/>
        </w:rPr>
        <w:t xml:space="preserve"> ondernemingen om interesse te tonen voor de voorgenomen aankopen. </w:t>
      </w:r>
      <w:r w:rsidRPr="00D50F12">
        <w:rPr>
          <w:b/>
          <w:bCs/>
          <w:lang w:val="nl-NL"/>
        </w:rPr>
        <w:t>Het is immers de bedoeling om een zekere soepelheid in te bouwen voor de uitvoering van kleinere opdrachten</w:t>
      </w:r>
      <w:r w:rsidRPr="005D5C24">
        <w:rPr>
          <w:b/>
          <w:bCs/>
          <w:lang w:val="nl-NL"/>
        </w:rPr>
        <w:t>.</w:t>
      </w:r>
      <w:r w:rsidRPr="00891B06">
        <w:t> </w:t>
      </w:r>
    </w:p>
    <w:p w14:paraId="0265A218" w14:textId="6AF76EF1" w:rsidR="00C810A8" w:rsidRPr="00891B06" w:rsidRDefault="00C810A8" w:rsidP="00C810A8">
      <w:r w:rsidRPr="00891B06">
        <w:t xml:space="preserve">Kies </w:t>
      </w:r>
      <w:r>
        <w:t xml:space="preserve">dus </w:t>
      </w:r>
      <w:r w:rsidRPr="00891B06">
        <w:t>voor opdrachten onder de 30</w:t>
      </w:r>
      <w:r>
        <w:t>.</w:t>
      </w:r>
      <w:r w:rsidRPr="00891B06">
        <w:t xml:space="preserve">000 euro </w:t>
      </w:r>
      <w:r>
        <w:t xml:space="preserve">bij voorkeur </w:t>
      </w:r>
      <w:r w:rsidRPr="00891B06">
        <w:t>voor de aanvaarde factuur. Deze</w:t>
      </w:r>
      <w:r>
        <w:t xml:space="preserve"> manier van werken</w:t>
      </w:r>
      <w:r w:rsidRPr="00891B06">
        <w:t xml:space="preserve"> heeft als </w:t>
      </w:r>
      <w:r w:rsidRPr="00891B06">
        <w:rPr>
          <w:b/>
          <w:bCs/>
        </w:rPr>
        <w:t>voordeel</w:t>
      </w:r>
      <w:r w:rsidRPr="00891B06">
        <w:t xml:space="preserve"> dat zowel de aanbestedende overheid, als de onderneming minder formaliteiten dienen te vervullen. </w:t>
      </w:r>
      <w:r>
        <w:t>Leg</w:t>
      </w:r>
      <w:r w:rsidRPr="00891B06">
        <w:t xml:space="preserve"> bijgevolg geen bijkomende formaliteiten op, die voor kmo’s extra administratieve lasten betekenen.</w:t>
      </w:r>
    </w:p>
    <w:p w14:paraId="100823F3" w14:textId="56BD1A6C" w:rsidR="00C810A8" w:rsidRPr="00891B06" w:rsidRDefault="00C810A8" w:rsidP="00C810A8">
      <w:r w:rsidRPr="00891B06">
        <w:t xml:space="preserve">Ondanks de </w:t>
      </w:r>
      <w:r>
        <w:t xml:space="preserve">nieuwe </w:t>
      </w:r>
      <w:r w:rsidRPr="00891B06">
        <w:t>rapporteringsverplichting voor opdrachten tussen 3</w:t>
      </w:r>
      <w:r>
        <w:t>.</w:t>
      </w:r>
      <w:r w:rsidRPr="00891B06">
        <w:t xml:space="preserve">000 en 30.000 </w:t>
      </w:r>
      <w:r>
        <w:t>e</w:t>
      </w:r>
      <w:r w:rsidRPr="00891B06">
        <w:t xml:space="preserve">uro, </w:t>
      </w:r>
      <w:r>
        <w:t>wegen</w:t>
      </w:r>
      <w:r w:rsidRPr="00891B06">
        <w:t xml:space="preserve"> de voordelen (</w:t>
      </w:r>
      <w:r>
        <w:t xml:space="preserve">de </w:t>
      </w:r>
      <w:r w:rsidRPr="00891B06">
        <w:t>beperkte  administratieve verplichtingen</w:t>
      </w:r>
      <w:r>
        <w:t xml:space="preserve"> en de soepelheid</w:t>
      </w:r>
      <w:r w:rsidRPr="00891B06">
        <w:t xml:space="preserve">) van de aanvaarde factuur </w:t>
      </w:r>
      <w:r>
        <w:t>ruimschoots door</w:t>
      </w:r>
      <w:r w:rsidRPr="00891B06">
        <w:t xml:space="preserve"> in vergelijking met</w:t>
      </w:r>
      <w:r>
        <w:t xml:space="preserve"> de (administratieve) verplichtingen bij</w:t>
      </w:r>
      <w:r w:rsidRPr="00891B06">
        <w:t xml:space="preserve"> andere procedures.</w:t>
      </w:r>
      <w:r>
        <w:t xml:space="preserve"> De</w:t>
      </w:r>
      <w:r w:rsidRPr="005B55E6">
        <w:t xml:space="preserve"> nieuwe, maar heel beperkte, rapporteringsverplichting </w:t>
      </w:r>
      <w:r>
        <w:t xml:space="preserve">mag dus in de praktijk </w:t>
      </w:r>
      <w:r w:rsidRPr="003E6C13">
        <w:rPr>
          <w:b/>
          <w:bCs/>
        </w:rPr>
        <w:t>niet leiden</w:t>
      </w:r>
      <w:r w:rsidRPr="005B55E6">
        <w:t xml:space="preserve"> tot het inruilen van de aanvaarde factuur voor complexere procedures. Het een staat niet in verhouding tot het ander</w:t>
      </w:r>
      <w:r w:rsidR="00AC591C">
        <w:t>.</w:t>
      </w:r>
    </w:p>
    <w:p w14:paraId="2357E1B8" w14:textId="77777777" w:rsidR="00C810A8" w:rsidRDefault="00C810A8" w:rsidP="00C810A8">
      <w:pPr>
        <w:rPr>
          <w:lang w:val="nl-NL"/>
        </w:rPr>
      </w:pPr>
      <w:r w:rsidRPr="0007496E">
        <w:rPr>
          <w:b/>
          <w:bCs/>
          <w:lang w:val="nl-NL"/>
        </w:rPr>
        <w:lastRenderedPageBreak/>
        <w:t xml:space="preserve">We kunnen </w:t>
      </w:r>
      <w:r>
        <w:rPr>
          <w:lang w:val="nl-NL"/>
        </w:rPr>
        <w:t xml:space="preserve">voor overheidsopdrachten van beperkte waarde </w:t>
      </w:r>
      <w:r w:rsidRPr="0007496E">
        <w:rPr>
          <w:b/>
          <w:bCs/>
          <w:lang w:val="nl-NL"/>
        </w:rPr>
        <w:t>concluderen</w:t>
      </w:r>
      <w:r>
        <w:rPr>
          <w:lang w:val="nl-NL"/>
        </w:rPr>
        <w:t xml:space="preserve"> dat wat betreft</w:t>
      </w:r>
    </w:p>
    <w:p w14:paraId="7D7B2269" w14:textId="77777777" w:rsidR="00C810A8" w:rsidRPr="00DA42A8" w:rsidRDefault="00C810A8" w:rsidP="00C810A8">
      <w:pPr>
        <w:pStyle w:val="Bullet1"/>
        <w:rPr>
          <w:lang w:val="nl-BE"/>
        </w:rPr>
      </w:pPr>
      <w:r>
        <w:rPr>
          <w:lang w:val="nl-NL"/>
        </w:rPr>
        <w:t>d</w:t>
      </w:r>
      <w:r w:rsidRPr="00DA42A8">
        <w:rPr>
          <w:lang w:val="nl-BE"/>
        </w:rPr>
        <w:t xml:space="preserve">e belangrijkste kenmerken en mogelijkheden, we kunnen verwijzen naar de geringe formaliteiten, het gegeven dat er opdracht per opdracht gewerkt wordt en dat er een vaste grens van 30.000 euro gehanteerd wordt; </w:t>
      </w:r>
    </w:p>
    <w:p w14:paraId="77E41CCA" w14:textId="77777777" w:rsidR="00C810A8" w:rsidRPr="00DA42A8" w:rsidRDefault="00C810A8" w:rsidP="00C810A8">
      <w:pPr>
        <w:pStyle w:val="Bullet1"/>
        <w:rPr>
          <w:lang w:val="nl-BE"/>
        </w:rPr>
      </w:pPr>
      <w:r w:rsidRPr="00DA42A8">
        <w:rPr>
          <w:lang w:val="nl-BE"/>
        </w:rPr>
        <w:t xml:space="preserve">de impact op ondernemingen, dit type procedure de laagste administratieve lasten kent, niet gekenmerkt wordt door “speciale formaliteiten” en evenmin een (verplichte) bekendmaking kent. </w:t>
      </w:r>
    </w:p>
    <w:p w14:paraId="05315AF6" w14:textId="77777777" w:rsidR="00C810A8" w:rsidRDefault="00C810A8" w:rsidP="00C810A8">
      <w:pPr>
        <w:rPr>
          <w:lang w:val="nl-NL"/>
        </w:rPr>
      </w:pPr>
      <w:r w:rsidRPr="00F66FA9">
        <w:rPr>
          <w:lang w:val="nl-NL"/>
        </w:rPr>
        <w:t xml:space="preserve">Hou evenwel rekening met de </w:t>
      </w:r>
      <w:r w:rsidRPr="00F66FA9">
        <w:rPr>
          <w:b/>
          <w:bCs/>
          <w:lang w:val="nl-NL"/>
        </w:rPr>
        <w:t>ramingsregels</w:t>
      </w:r>
      <w:r w:rsidRPr="00F66FA9">
        <w:rPr>
          <w:lang w:val="nl-NL"/>
        </w:rPr>
        <w:t xml:space="preserve">. Aangezien opdrachten van beperkte waarde vaak betrekking hebben op </w:t>
      </w:r>
      <w:r w:rsidRPr="00F66FA9">
        <w:rPr>
          <w:b/>
          <w:bCs/>
          <w:lang w:val="nl-NL"/>
        </w:rPr>
        <w:t>repetitieve</w:t>
      </w:r>
      <w:r w:rsidRPr="00F66FA9">
        <w:rPr>
          <w:lang w:val="nl-NL"/>
        </w:rPr>
        <w:t xml:space="preserve"> kleine bestellingen van leveringen en diensten, moet de totale geraamde waarde van de opeenvolgende gelijksoortige bestellingen worden berekend over een periode van twaalf maanden.</w:t>
      </w:r>
    </w:p>
    <w:p w14:paraId="517B404B" w14:textId="77777777" w:rsidR="00C810A8" w:rsidRPr="00F66FA9" w:rsidRDefault="00C810A8" w:rsidP="00C810A8">
      <w:pPr>
        <w:rPr>
          <w:lang w:val="nl-NL"/>
        </w:rPr>
      </w:pPr>
      <w:r>
        <w:rPr>
          <w:lang w:val="nl-NL"/>
        </w:rPr>
        <w:t xml:space="preserve">Voor meer informatie en voorbeelden verwijzen we door naar de </w:t>
      </w:r>
      <w:hyperlink r:id="rId101" w:history="1">
        <w:r w:rsidRPr="00D96E29">
          <w:rPr>
            <w:rStyle w:val="Hyperlink"/>
            <w:lang w:val="nl-NL"/>
          </w:rPr>
          <w:t>praktijkgids</w:t>
        </w:r>
      </w:hyperlink>
      <w:r>
        <w:rPr>
          <w:lang w:val="nl-NL"/>
        </w:rPr>
        <w:t xml:space="preserve"> van de FOD BOSA over dit onderwerp. </w:t>
      </w:r>
      <w:r w:rsidRPr="00F66FA9">
        <w:rPr>
          <w:lang w:val="nl-NL"/>
        </w:rPr>
        <w:t xml:space="preserve"> </w:t>
      </w:r>
    </w:p>
    <w:p w14:paraId="005E6E8B" w14:textId="64F3841F" w:rsidR="00C810A8" w:rsidRPr="00DD5154" w:rsidRDefault="00C810A8" w:rsidP="00C810A8">
      <w:pPr>
        <w:pStyle w:val="Kop3"/>
        <w:rPr>
          <w:lang w:val="nl-NL"/>
        </w:rPr>
      </w:pPr>
      <w:r>
        <w:rPr>
          <w:lang w:val="nl-NL"/>
        </w:rPr>
        <w:t xml:space="preserve"> </w:t>
      </w:r>
      <w:bookmarkStart w:id="213" w:name="_Toc135840022"/>
      <w:bookmarkStart w:id="214" w:name="_Toc150870627"/>
      <w:r>
        <w:rPr>
          <w:lang w:val="nl-NL"/>
        </w:rPr>
        <w:t>Raamovereenkomsten</w:t>
      </w:r>
      <w:bookmarkEnd w:id="213"/>
      <w:bookmarkEnd w:id="214"/>
      <w:r>
        <w:rPr>
          <w:lang w:val="nl-NL"/>
        </w:rPr>
        <w:t xml:space="preserve"> </w:t>
      </w:r>
    </w:p>
    <w:p w14:paraId="042A64BA" w14:textId="2D3E123B" w:rsidR="006F07CD" w:rsidRPr="009214DB" w:rsidRDefault="006F07CD" w:rsidP="00C810A8">
      <w:pPr>
        <w:rPr>
          <w:lang w:val="nl-NL"/>
        </w:rPr>
      </w:pPr>
      <w:r w:rsidRPr="009214DB">
        <w:rPr>
          <w:lang w:val="nl-NL"/>
        </w:rPr>
        <w:t>Eerst en vooral hernemen we het reglementaire kader van het KB van 21 juli 2023</w:t>
      </w:r>
      <w:r w:rsidR="00E64B92" w:rsidRPr="009214DB">
        <w:rPr>
          <w:lang w:val="nl-NL"/>
        </w:rPr>
        <w:t>, zie ook eerder</w:t>
      </w:r>
      <w:r w:rsidRPr="009214DB">
        <w:rPr>
          <w:lang w:val="nl-NL"/>
        </w:rPr>
        <w:t xml:space="preserve">, meer bepaald de bepalingen inzake </w:t>
      </w:r>
      <w:r w:rsidR="00A7307E" w:rsidRPr="009214DB">
        <w:rPr>
          <w:lang w:val="nl-NL"/>
        </w:rPr>
        <w:t>aankoopcentrales</w:t>
      </w:r>
      <w:r w:rsidR="00894899" w:rsidRPr="009214DB">
        <w:rPr>
          <w:rStyle w:val="Voetnootmarkering"/>
          <w:b/>
          <w:bCs/>
        </w:rPr>
        <w:footnoteReference w:id="10"/>
      </w:r>
      <w:r w:rsidR="00A7307E" w:rsidRPr="009214DB">
        <w:rPr>
          <w:lang w:val="nl-NL"/>
        </w:rPr>
        <w:t xml:space="preserve"> en </w:t>
      </w:r>
      <w:r w:rsidRPr="009214DB">
        <w:rPr>
          <w:lang w:val="nl-NL"/>
        </w:rPr>
        <w:t>het gebruik van raamovereenkomsten</w:t>
      </w:r>
      <w:r w:rsidR="009B343D" w:rsidRPr="009214DB">
        <w:rPr>
          <w:lang w:val="nl-NL"/>
        </w:rPr>
        <w:t>.</w:t>
      </w:r>
    </w:p>
    <w:p w14:paraId="3BC2491A" w14:textId="20529C19" w:rsidR="00581EF1" w:rsidRPr="009214DB" w:rsidRDefault="00581EF1" w:rsidP="00646ED1">
      <w:r w:rsidRPr="009214DB">
        <w:rPr>
          <w:lang w:val="nl-NL"/>
        </w:rPr>
        <w:t xml:space="preserve">Ter herinnering: </w:t>
      </w:r>
      <w:r w:rsidR="00953844" w:rsidRPr="009214DB">
        <w:rPr>
          <w:lang w:val="nl-NL"/>
        </w:rPr>
        <w:t>het KB bevat twee cruciale bijlagen. B</w:t>
      </w:r>
      <w:r w:rsidR="00953844" w:rsidRPr="009214DB">
        <w:t>ijl</w:t>
      </w:r>
      <w:r w:rsidR="00D87673" w:rsidRPr="009214DB">
        <w:t>age</w:t>
      </w:r>
      <w:r w:rsidR="00953844" w:rsidRPr="009214DB">
        <w:t xml:space="preserve"> 2 bevat de gemeenschappelijke behoeften inzake de transversale aankoopdomeinen. </w:t>
      </w:r>
      <w:r w:rsidR="00646ED1" w:rsidRPr="009214DB">
        <w:t>B</w:t>
      </w:r>
      <w:r w:rsidR="00953844" w:rsidRPr="009214DB">
        <w:t>ijlage 3 heeft betrekking op andere, niet-transversale, aankoopdomeinen die het voorwerp kunnen uitmaken van gemeenschappelijke overeenkomsten.</w:t>
      </w:r>
    </w:p>
    <w:p w14:paraId="3893B905" w14:textId="4AEC7297" w:rsidR="006F07CD" w:rsidRPr="009214DB" w:rsidRDefault="00927559" w:rsidP="00927559">
      <w:r w:rsidRPr="009214DB">
        <w:t>V</w:t>
      </w:r>
      <w:r w:rsidR="0017001E" w:rsidRPr="009214DB">
        <w:t xml:space="preserve">oor de gemeenschappelijke behoeften die onder </w:t>
      </w:r>
      <w:r w:rsidR="0017001E" w:rsidRPr="009214DB">
        <w:rPr>
          <w:b/>
          <w:bCs/>
        </w:rPr>
        <w:t>bijlage 2</w:t>
      </w:r>
      <w:r w:rsidR="0017001E" w:rsidRPr="009214DB">
        <w:t xml:space="preserve"> vallen, </w:t>
      </w:r>
      <w:r w:rsidR="0017001E" w:rsidRPr="009214DB">
        <w:rPr>
          <w:b/>
          <w:bCs/>
        </w:rPr>
        <w:t>bepaalt het KB dat de FOD BOSA via het dienstencentrum Procurement prioritair zal optreden als aankoopcentrale</w:t>
      </w:r>
      <w:r w:rsidR="0017001E" w:rsidRPr="009214DB">
        <w:t xml:space="preserve">. Voor de gemeenschappelijke behoeften die onder bijlage 3 vallen, kan </w:t>
      </w:r>
      <w:r w:rsidR="0017001E" w:rsidRPr="009214DB">
        <w:rPr>
          <w:i/>
          <w:iCs/>
        </w:rPr>
        <w:t>elke</w:t>
      </w:r>
      <w:r w:rsidR="0017001E" w:rsidRPr="009214DB">
        <w:t xml:space="preserve"> actieve of passieve deelnemer als aankoopcentrale optreden, op basis van hun expertise en capaciteit, maar ook in functie van de taken die via reglementaire, wettelijke of statutaire weg aan die deelnemer zijn toevertrouwd</w:t>
      </w:r>
      <w:r w:rsidR="005C03E0" w:rsidRPr="009214DB">
        <w:t>. Voor specifieke behoeften die niet in bijlagen 2 en 3 zijn opgenomen en waarvoor er bij meerdere deelnemers een behoefte bestaat, kan eveneens een gemeenschappelijke overeenkomst tot stand komen</w:t>
      </w:r>
      <w:r w:rsidRPr="009214DB">
        <w:t>.</w:t>
      </w:r>
    </w:p>
    <w:p w14:paraId="2949D360" w14:textId="4657325B" w:rsidR="00E01C92" w:rsidRPr="009214DB" w:rsidRDefault="00E01C92" w:rsidP="00927559">
      <w:r w:rsidRPr="009214DB">
        <w:t>Daarnaast bevat het KB volgende instructies voor de federale aanbesteders:</w:t>
      </w:r>
    </w:p>
    <w:p w14:paraId="16D3513B" w14:textId="77777777" w:rsidR="00393E65" w:rsidRPr="009214DB" w:rsidRDefault="00393E65" w:rsidP="00393E65">
      <w:pPr>
        <w:pStyle w:val="Bullet1"/>
        <w:rPr>
          <w:lang w:val="nl-BE"/>
        </w:rPr>
      </w:pPr>
      <w:r w:rsidRPr="009214DB">
        <w:rPr>
          <w:b/>
          <w:bCs/>
          <w:lang w:val="nl-BE"/>
        </w:rPr>
        <w:t>actieve deelnemers dienen voorrang te verlenen aan gemeenschappelijke overeenkomsten die behoren tot bijlagen 2 en 3</w:t>
      </w:r>
      <w:r w:rsidRPr="009214DB">
        <w:rPr>
          <w:lang w:val="nl-BE"/>
        </w:rPr>
        <w:t>. Iedere vorm van mededinging of "shopping" tussen verschillende raamovereenkomsten is dus uitgesloten. Echter, voor de gemeenschappelijke behoeften onder bijlage 3, kunnen de deelnemers hun eigen opdrachten plaatsen zolang het SFA geen beslissing heeft genomen hiervoor een gemeenschappelijke overeenkomst op te starten. Dat op voorwaarde van enkele praktische modaliteiten, zie het KB voor meer info;</w:t>
      </w:r>
    </w:p>
    <w:p w14:paraId="43DFF117" w14:textId="77777777" w:rsidR="00393E65" w:rsidRPr="009214DB" w:rsidRDefault="00393E65" w:rsidP="00393E65">
      <w:pPr>
        <w:pStyle w:val="Bullet1"/>
        <w:rPr>
          <w:lang w:val="nl-BE"/>
        </w:rPr>
      </w:pPr>
      <w:r w:rsidRPr="009214DB">
        <w:rPr>
          <w:b/>
          <w:bCs/>
          <w:lang w:val="nl-BE"/>
        </w:rPr>
        <w:t>het vermijden van parallelle raamovereenkomsten</w:t>
      </w:r>
      <w:r w:rsidRPr="009214DB">
        <w:rPr>
          <w:lang w:val="nl-BE"/>
        </w:rPr>
        <w:t xml:space="preserve"> met als doel te verhinderen dat een actieve deelnemer die niet wenst deel te nemen aan een gemeenschappelijke overeenkomst deze zou beconcurreren door als aankoopcentrale op te treden voor dezelfde behoeften. Deze actieve deelnemer mag </w:t>
      </w:r>
      <w:r w:rsidRPr="009214DB">
        <w:rPr>
          <w:b/>
          <w:bCs/>
          <w:lang w:val="nl-BE"/>
        </w:rPr>
        <w:t>wel een eigen individuele overheidsopdracht</w:t>
      </w:r>
      <w:r w:rsidRPr="009214DB">
        <w:rPr>
          <w:lang w:val="nl-BE"/>
        </w:rPr>
        <w:t xml:space="preserve"> met een gelijkaardig voorwerp plaatsen. Daarnaast mag een actieve deelnemer optreden als aankoopcentrale voor de aankoopdomeinen die niet in bijlagen 2 en 3 zijn opgenomen en voor aanbesteders die niet onder het toepassingsgebied van dit KB vallen;</w:t>
      </w:r>
    </w:p>
    <w:p w14:paraId="0130E317" w14:textId="77777777" w:rsidR="00393E65" w:rsidRPr="009214DB" w:rsidRDefault="00393E65" w:rsidP="00393E65">
      <w:pPr>
        <w:pStyle w:val="Bullet1"/>
        <w:rPr>
          <w:lang w:val="nl-BE"/>
        </w:rPr>
      </w:pPr>
      <w:r w:rsidRPr="009214DB">
        <w:rPr>
          <w:b/>
          <w:bCs/>
          <w:lang w:val="nl-BE"/>
        </w:rPr>
        <w:t>actieve deelnemers kunnen ook beslissen om niet deel te nemen</w:t>
      </w:r>
      <w:r w:rsidRPr="009214DB">
        <w:rPr>
          <w:lang w:val="nl-BE"/>
        </w:rPr>
        <w:t xml:space="preserve"> aan een gemeenschappelijke overeenkomst die voortvloeit uit een aankoopdomein opgenomen in bijlage 2 of 3. Die beslissing </w:t>
      </w:r>
      <w:r w:rsidRPr="009214DB">
        <w:rPr>
          <w:b/>
          <w:bCs/>
          <w:lang w:val="nl-BE"/>
        </w:rPr>
        <w:t>vereist een motivatie</w:t>
      </w:r>
      <w:r w:rsidRPr="009214DB">
        <w:rPr>
          <w:lang w:val="nl-BE"/>
        </w:rPr>
        <w:t xml:space="preserve">. In dit geval kunnen de desbetreffende actieve deelnemers echter </w:t>
      </w:r>
      <w:r w:rsidRPr="009214DB">
        <w:rPr>
          <w:b/>
          <w:bCs/>
          <w:lang w:val="nl-BE"/>
        </w:rPr>
        <w:t>wel individuele overheidsopdrachten afsluiten voor vergelijkbare behoeften, maar dus niet optreden als aankoopcentrale</w:t>
      </w:r>
      <w:r w:rsidRPr="009214DB">
        <w:rPr>
          <w:lang w:val="nl-BE"/>
        </w:rPr>
        <w:t>.</w:t>
      </w:r>
    </w:p>
    <w:p w14:paraId="4B8493C4" w14:textId="7132C309" w:rsidR="00393E65" w:rsidRPr="009214DB" w:rsidRDefault="00393E65" w:rsidP="00393E65">
      <w:r w:rsidRPr="009214DB">
        <w:t>Voor meer informatie en een aantal uitzonderlijke situaties wordt verwezen naar het KB van 2</w:t>
      </w:r>
      <w:r w:rsidR="00521AE9" w:rsidRPr="009214DB">
        <w:t>1</w:t>
      </w:r>
      <w:r w:rsidRPr="009214DB">
        <w:t xml:space="preserve"> juli 2023.</w:t>
      </w:r>
    </w:p>
    <w:p w14:paraId="111E2875" w14:textId="4B5B350B" w:rsidR="00393E65" w:rsidRPr="0064200B" w:rsidRDefault="008B63FD" w:rsidP="00C810A8">
      <w:pPr>
        <w:rPr>
          <w:b/>
          <w:bCs/>
          <w:color w:val="0070C0"/>
        </w:rPr>
      </w:pPr>
      <w:r w:rsidRPr="009214DB">
        <w:rPr>
          <w:b/>
          <w:bCs/>
          <w:color w:val="0070C0"/>
        </w:rPr>
        <w:lastRenderedPageBreak/>
        <w:t>Alle</w:t>
      </w:r>
      <w:r w:rsidR="00967DE6" w:rsidRPr="009214DB">
        <w:rPr>
          <w:b/>
          <w:bCs/>
          <w:color w:val="0070C0"/>
        </w:rPr>
        <w:t xml:space="preserve"> bepalingen over en eigenschappen van raamovereenkomsten die hierna vermeld worden, moeten dus hun </w:t>
      </w:r>
      <w:r w:rsidR="00967DE6" w:rsidRPr="009214DB">
        <w:rPr>
          <w:b/>
          <w:bCs/>
          <w:i/>
          <w:iCs/>
          <w:color w:val="0070C0"/>
        </w:rPr>
        <w:t>toepassing</w:t>
      </w:r>
      <w:r w:rsidR="00967DE6" w:rsidRPr="009214DB">
        <w:rPr>
          <w:b/>
          <w:bCs/>
          <w:color w:val="0070C0"/>
        </w:rPr>
        <w:t xml:space="preserve"> vinden </w:t>
      </w:r>
      <w:r w:rsidR="00B2156D" w:rsidRPr="009214DB">
        <w:rPr>
          <w:b/>
          <w:bCs/>
          <w:color w:val="0070C0"/>
        </w:rPr>
        <w:t>binnen</w:t>
      </w:r>
      <w:r w:rsidR="00967DE6" w:rsidRPr="009214DB">
        <w:rPr>
          <w:b/>
          <w:bCs/>
          <w:color w:val="0070C0"/>
        </w:rPr>
        <w:t xml:space="preserve"> het hierboven geschetste reglementaire kader. </w:t>
      </w:r>
      <w:r w:rsidR="00360D08" w:rsidRPr="009214DB">
        <w:rPr>
          <w:color w:val="0070C0"/>
        </w:rPr>
        <w:t>Zo zal het immers in sommige gevallen niet (meer) aan de individuele federale aanbesteder zelf of alleen zijn om een opdracht te lanceren.</w:t>
      </w:r>
    </w:p>
    <w:p w14:paraId="41C3702F" w14:textId="6A21FEFE" w:rsidR="00C810A8" w:rsidRPr="00891B06" w:rsidRDefault="00C810A8" w:rsidP="00C810A8">
      <w:pPr>
        <w:rPr>
          <w:lang w:val="nl-NL"/>
        </w:rPr>
      </w:pPr>
      <w:r w:rsidRPr="00891B06">
        <w:rPr>
          <w:lang w:val="nl-NL"/>
        </w:rPr>
        <w:t xml:space="preserve">De, in </w:t>
      </w:r>
      <w:r w:rsidR="008D7C94">
        <w:rPr>
          <w:lang w:val="nl-NL"/>
        </w:rPr>
        <w:t xml:space="preserve">het artikel 43 van de wet </w:t>
      </w:r>
      <w:r w:rsidR="00D81830">
        <w:rPr>
          <w:lang w:val="nl-NL"/>
        </w:rPr>
        <w:t xml:space="preserve">van </w:t>
      </w:r>
      <w:hyperlink r:id="rId102" w:history="1">
        <w:r w:rsidR="00D81830" w:rsidRPr="00F117AA">
          <w:rPr>
            <w:rStyle w:val="Hyperlink"/>
            <w:lang w:val="nl-NL"/>
          </w:rPr>
          <w:t>17 juni 2016</w:t>
        </w:r>
      </w:hyperlink>
      <w:r w:rsidRPr="00891B06">
        <w:rPr>
          <w:lang w:val="nl-NL"/>
        </w:rPr>
        <w:t xml:space="preserve"> </w:t>
      </w:r>
      <w:r>
        <w:rPr>
          <w:lang w:val="nl-NL"/>
        </w:rPr>
        <w:t>vermelde</w:t>
      </w:r>
      <w:r w:rsidRPr="00891B06">
        <w:rPr>
          <w:lang w:val="nl-NL"/>
        </w:rPr>
        <w:t xml:space="preserve">, verschillende manieren waarop de </w:t>
      </w:r>
      <w:r w:rsidRPr="001371EE">
        <w:rPr>
          <w:b/>
          <w:lang w:val="nl-NL"/>
        </w:rPr>
        <w:t>raamovereenkomst</w:t>
      </w:r>
      <w:r w:rsidR="005845E3">
        <w:rPr>
          <w:rStyle w:val="Voetnootmarkering"/>
        </w:rPr>
        <w:footnoteReference w:id="11"/>
      </w:r>
      <w:r w:rsidRPr="00891B06">
        <w:rPr>
          <w:b/>
          <w:lang w:val="nl-NL"/>
        </w:rPr>
        <w:t xml:space="preserve"> </w:t>
      </w:r>
      <w:r>
        <w:rPr>
          <w:lang w:val="nl-NL"/>
        </w:rPr>
        <w:t>kan</w:t>
      </w:r>
      <w:r w:rsidRPr="00891B06">
        <w:rPr>
          <w:lang w:val="nl-NL"/>
        </w:rPr>
        <w:t xml:space="preserve"> worden afgesloten en uitgevoerd, laten</w:t>
      </w:r>
      <w:r>
        <w:rPr>
          <w:lang w:val="nl-NL"/>
        </w:rPr>
        <w:t xml:space="preserve"> </w:t>
      </w:r>
      <w:r w:rsidRPr="00891B06">
        <w:rPr>
          <w:lang w:val="nl-NL"/>
        </w:rPr>
        <w:t xml:space="preserve">toe om </w:t>
      </w:r>
      <w:r w:rsidRPr="005B2404">
        <w:rPr>
          <w:b/>
          <w:bCs/>
          <w:lang w:val="nl-NL"/>
        </w:rPr>
        <w:t>voor herhaaldelijke, soortgelijke opdrachten</w:t>
      </w:r>
      <w:r w:rsidRPr="00891B06">
        <w:rPr>
          <w:lang w:val="nl-NL"/>
        </w:rPr>
        <w:t xml:space="preserve"> waarvan de totale reële of geraamde waarde over een periode van 12 maanden relatief beperkt blijft, op een soepele wijze bestellingen te plaatsen</w:t>
      </w:r>
      <w:r w:rsidRPr="00ED76D8">
        <w:rPr>
          <w:lang w:val="nl-NL"/>
        </w:rPr>
        <w:t>.</w:t>
      </w:r>
      <w:r w:rsidRPr="00ED76D8">
        <w:t> </w:t>
      </w:r>
      <w:r w:rsidRPr="00ED76D8">
        <w:rPr>
          <w:lang w:val="nl-NL"/>
        </w:rPr>
        <w:t>In functie van d</w:t>
      </w:r>
      <w:r>
        <w:rPr>
          <w:lang w:val="nl-NL"/>
        </w:rPr>
        <w:t>i</w:t>
      </w:r>
      <w:r w:rsidRPr="00ED76D8">
        <w:rPr>
          <w:lang w:val="nl-NL"/>
        </w:rPr>
        <w:t xml:space="preserve">e totale geraamde waarde kunnen </w:t>
      </w:r>
      <w:r>
        <w:rPr>
          <w:lang w:val="nl-NL"/>
        </w:rPr>
        <w:t xml:space="preserve">dan </w:t>
      </w:r>
      <w:r w:rsidRPr="00ED76D8">
        <w:rPr>
          <w:lang w:val="nl-NL"/>
        </w:rPr>
        <w:t>raamovereenkomsten met een of meerdere opdrachtnemers worden afgesloten waarbij op een eenvoudige wijze en volgens de voorwaarden bepaald in de raamovereenkomst gedurende een bepaalde periode bestellingen kunnen worden geplaatst. </w:t>
      </w:r>
      <w:r w:rsidRPr="00891B06">
        <w:t> </w:t>
      </w:r>
    </w:p>
    <w:p w14:paraId="01B3A2EE" w14:textId="76E8ADD4" w:rsidR="00C810A8" w:rsidRDefault="00C810A8" w:rsidP="00C810A8">
      <w:r w:rsidRPr="00034424">
        <w:t>De idee bij raamovereenkomsten bestaat erin om de vraag te bundelen om schaalvoordelen zoals lagere prijzen en</w:t>
      </w:r>
      <w:r w:rsidR="00755E6D">
        <w:t xml:space="preserve"> minder</w:t>
      </w:r>
      <w:r w:rsidRPr="00034424">
        <w:t xml:space="preserve"> transactiekosten te verkrijgen, en om het aanbestedingsmanagement te verbeteren en te professionaliseren. </w:t>
      </w:r>
      <w:r w:rsidRPr="00691495">
        <w:rPr>
          <w:b/>
          <w:bCs/>
        </w:rPr>
        <w:t>De noodzaak tot het lanceren van een raamovereenkomst moet grondig bestudeerd worden tijdens de fasen van behoeftebepaling en marktverkenning</w:t>
      </w:r>
      <w:r>
        <w:t xml:space="preserve"> – zie </w:t>
      </w:r>
      <w:r w:rsidRPr="000E5C87">
        <w:t>principe 2. Een</w:t>
      </w:r>
      <w:r>
        <w:t xml:space="preserve"> raamovereenkomst heeft immers een serieuze impact op zowel de werking van de markt als op de participerende overheden.</w:t>
      </w:r>
    </w:p>
    <w:p w14:paraId="637E3CE1" w14:textId="77777777" w:rsidR="00C810A8" w:rsidRPr="00034424" w:rsidRDefault="00C810A8" w:rsidP="00C810A8">
      <w:r w:rsidRPr="00034424">
        <w:t xml:space="preserve">Raamovereenkomsten kunnen zowel voor werken, leveringen als diensten gesloten worden. Zowel producten als gespecialiseerde vormen van dienstverlening kunnen via een raamovereenkomst afgenomen worden. Een dergelijke overeenkomst houdt dus in dat een zekere vorm van standaardisatie mogelijk is op vlak van proces en realisatie, wat op zijn beurt dus betekent dat een raamovereenkomst niet toepasbaar is voor elke behoefte. Binnen de context van een raamovereenkomst kunnen weliswaar prestaties op maat gedefinieerd worden, maar deze mogen slechts uitzonderlijk voorkomen. </w:t>
      </w:r>
    </w:p>
    <w:p w14:paraId="7CF27B53" w14:textId="77777777" w:rsidR="00C810A8" w:rsidRPr="00891B06" w:rsidRDefault="00C810A8" w:rsidP="00C810A8">
      <w:r w:rsidRPr="00891B06">
        <w:t xml:space="preserve">Bij de berekening van de waarde van een raamovereenkomst wordt uitgegaan van de geraamde maximale waarde, exclusief </w:t>
      </w:r>
      <w:r>
        <w:t>de btw</w:t>
      </w:r>
      <w:r w:rsidRPr="00891B06">
        <w:t xml:space="preserve">, van alle voor de totale duur voorgenomen opdrachten. </w:t>
      </w:r>
      <w:r w:rsidRPr="00DF6433">
        <w:rPr>
          <w:b/>
          <w:bCs/>
          <w:color w:val="0070C0"/>
        </w:rPr>
        <w:t>Zodra de gecumuleerde waarde of hoeveelheid van de specifieke opdrachten de maximale hoeveelheid of de maximale waarde van de raamovereenkomst bereikt, ressorteert de raamovereenkomst geen effect meer.</w:t>
      </w:r>
      <w:r w:rsidRPr="00DF6433">
        <w:rPr>
          <w:color w:val="0070C0"/>
        </w:rPr>
        <w:t xml:space="preserve"> </w:t>
      </w:r>
      <w:r w:rsidRPr="00891B06">
        <w:t>Geen enkele specifieke opdracht zal dan nog kunnen worden gegund op basis van de raamovereenkomst.</w:t>
      </w:r>
    </w:p>
    <w:p w14:paraId="7D720C18" w14:textId="77777777" w:rsidR="00C810A8" w:rsidRPr="00891B06" w:rsidRDefault="00C810A8" w:rsidP="00C810A8">
      <w:r w:rsidRPr="00891B06">
        <w:t xml:space="preserve">Een raamovereenkomst is een open constructie voor de deelnemende overheden: zij zijn niet verplicht om vanaf de eerste dag na sluiting over te gaan tot bestellingen. Door de generieke aard en door de lange duur is het mogelijk om lopende contracten </w:t>
      </w:r>
      <w:r>
        <w:t>uit te doen</w:t>
      </w:r>
      <w:r w:rsidRPr="00891B06">
        <w:t xml:space="preserve"> zonder risico op verbrekingsvergoeding. </w:t>
      </w:r>
    </w:p>
    <w:p w14:paraId="1B46F91F" w14:textId="5633F158" w:rsidR="00C810A8" w:rsidRDefault="00C810A8" w:rsidP="00C810A8">
      <w:r w:rsidRPr="00891B06">
        <w:t>Het is evenmin een exclusieve overeenkomst: een aanbesteder behoudt steeds het recht om aparte overheidsopdrachten te organiseren</w:t>
      </w:r>
      <w:r w:rsidR="00A040A6">
        <w:t xml:space="preserve"> – dit weliswaar </w:t>
      </w:r>
      <w:r w:rsidR="00464163">
        <w:t>voor federale aanbesteders binnen het reglementaire kader van het KB van 21 juli 2023, zie eerder</w:t>
      </w:r>
      <w:r w:rsidRPr="00891B06">
        <w:t>. Behoudens andersluidende bepaling in de opdrachtdocumenten, doet de sluiting van de raamovereenkomst dus geen recht op exclusiviteit ontstaan in hoofde van de deelnemer(s)</w:t>
      </w:r>
      <w:r w:rsidR="006E3086">
        <w:t xml:space="preserve"> en is</w:t>
      </w:r>
      <w:r w:rsidR="00CB3DE9">
        <w:t xml:space="preserve"> er </w:t>
      </w:r>
      <w:r w:rsidRPr="00891B06">
        <w:rPr>
          <w:b/>
          <w:bCs/>
        </w:rPr>
        <w:t>geen verplichting om effectief te bestellen</w:t>
      </w:r>
      <w:r w:rsidRPr="00891B06">
        <w:t xml:space="preserve"> bij de deelnemer(s). De deelnemer is van zijn kant ook niet verplicht de bestelling te aanvaarden, tenzij de opdrachtdocumenten anders bepalen.  </w:t>
      </w:r>
    </w:p>
    <w:p w14:paraId="0CCFCC3E" w14:textId="302C3CFC" w:rsidR="00C810A8" w:rsidRPr="00010BF5" w:rsidRDefault="00C810A8" w:rsidP="00C810A8">
      <w:r w:rsidRPr="00891B06">
        <w:t>Een raamovereenkomst kan maximaal 4 jaar gelden</w:t>
      </w:r>
      <w:r w:rsidR="00495591">
        <w:t xml:space="preserve">, </w:t>
      </w:r>
      <w:r w:rsidR="00495591" w:rsidRPr="00495591">
        <w:t>behoudens in uitzonderlijke en behoorlijk gemotiveerde gevallen,</w:t>
      </w:r>
      <w:r>
        <w:t xml:space="preserve"> en </w:t>
      </w:r>
      <w:r w:rsidRPr="00010BF5">
        <w:t xml:space="preserve">ontslaat de gebruiker niet van de noodzaak om een studie uit te voeren. De deelnemende partij dient evenwel geen tijd meer te spenderen aan de volledige administratieve afhandeling van een opdracht. Als </w:t>
      </w:r>
      <w:r w:rsidR="001360ED">
        <w:t>een</w:t>
      </w:r>
      <w:r w:rsidRPr="00010BF5">
        <w:t xml:space="preserve"> aanbesteder van een raamovereenkomst wenst af te nemen, is het belangrijk om eerst te onderzoeken of </w:t>
      </w:r>
      <w:r w:rsidR="00154C50">
        <w:t>de</w:t>
      </w:r>
      <w:r w:rsidRPr="00010BF5">
        <w:t xml:space="preserve"> entiteit</w:t>
      </w:r>
      <w:r w:rsidR="00154C50">
        <w:t xml:space="preserve"> waartoe </w:t>
      </w:r>
      <w:r w:rsidR="00FE27FB">
        <w:t>de aanbesteder</w:t>
      </w:r>
      <w:r w:rsidR="00154C50">
        <w:t xml:space="preserve"> behoort,</w:t>
      </w:r>
      <w:r w:rsidRPr="00010BF5">
        <w:t xml:space="preserve"> opgenomen is in het toepassingsgebied</w:t>
      </w:r>
      <w:r w:rsidR="00AD2ACA">
        <w:t xml:space="preserve"> van de raamovereenkomst</w:t>
      </w:r>
      <w:r w:rsidRPr="00010BF5">
        <w:t xml:space="preserve">. </w:t>
      </w:r>
    </w:p>
    <w:p w14:paraId="1ADB1FEC" w14:textId="6525EF34" w:rsidR="00C810A8" w:rsidRDefault="00C810A8" w:rsidP="00C810A8">
      <w:r w:rsidRPr="00891B06">
        <w:t>Voor sommige raamovereenkomsten</w:t>
      </w:r>
      <w:r w:rsidR="0096348F">
        <w:t xml:space="preserve">, met name diegene met meerdere </w:t>
      </w:r>
      <w:r w:rsidR="00AE3860">
        <w:t>ondernemers</w:t>
      </w:r>
      <w:r w:rsidR="0096348F">
        <w:t>,</w:t>
      </w:r>
      <w:r w:rsidRPr="00891B06">
        <w:t xml:space="preserve"> wordt er gewerkt met</w:t>
      </w:r>
      <w:r>
        <w:t xml:space="preserve"> </w:t>
      </w:r>
      <w:r w:rsidRPr="00757830">
        <w:rPr>
          <w:b/>
          <w:bCs/>
        </w:rPr>
        <w:t>een</w:t>
      </w:r>
      <w:r w:rsidRPr="00891B06">
        <w:t xml:space="preserve"> </w:t>
      </w:r>
      <w:r w:rsidRPr="00891B06">
        <w:rPr>
          <w:b/>
          <w:bCs/>
        </w:rPr>
        <w:t xml:space="preserve">minicompetitie, </w:t>
      </w:r>
      <w:r>
        <w:rPr>
          <w:b/>
          <w:bCs/>
        </w:rPr>
        <w:t xml:space="preserve">een </w:t>
      </w:r>
      <w:r w:rsidRPr="00891B06">
        <w:rPr>
          <w:b/>
          <w:bCs/>
        </w:rPr>
        <w:t>cascadesysteem of een rotatiesysteem</w:t>
      </w:r>
      <w:r w:rsidRPr="00891B06">
        <w:t xml:space="preserve">. Deze systemen werpen </w:t>
      </w:r>
      <w:r>
        <w:t xml:space="preserve">evenwel </w:t>
      </w:r>
      <w:r w:rsidRPr="00891B06">
        <w:t>voor de kandidaten bijkomende administratieve lasten op.</w:t>
      </w:r>
    </w:p>
    <w:p w14:paraId="63645974" w14:textId="7688C3BD" w:rsidR="00C810A8" w:rsidRDefault="00C810A8" w:rsidP="00C810A8">
      <w:r w:rsidRPr="000E5C87">
        <w:lastRenderedPageBreak/>
        <w:t>Gezien de doelstelling van dit charter, met name het bevorderen van de toegang van kmo’s, lijkt het interessant</w:t>
      </w:r>
      <w:r w:rsidR="00AD7068" w:rsidRPr="000E5C87">
        <w:t xml:space="preserve"> om</w:t>
      </w:r>
      <w:r w:rsidRPr="000E5C87">
        <w:t xml:space="preserve"> kort stil te staan bij de optie van het rotatiesysteem. De omzendbrief van </w:t>
      </w:r>
      <w:hyperlink r:id="rId103" w:anchor="Page144" w:history="1">
        <w:r w:rsidRPr="000E5C87">
          <w:rPr>
            <w:rStyle w:val="Hyperlink"/>
          </w:rPr>
          <w:t>28 juni 2022</w:t>
        </w:r>
      </w:hyperlink>
      <w:r w:rsidRPr="000E5C87">
        <w:t xml:space="preserve"> stelt namelijk het volgende: “</w:t>
      </w:r>
      <w:r w:rsidRPr="000E5C87">
        <w:rPr>
          <w:i/>
          <w:iCs/>
        </w:rPr>
        <w:t>In uitzonderlijke gevallen kan ook de instelling van een rotatiesysteem overwogen worden. Volgens dit systeem worden de specifieke opdrachten alternerend gegund aan de betrokken deelnemers. Zulk een rotatiesysteem is alleen aanvaardbaar indien bijzondere omstandigheden het gebruik ervan verantwoorden, bijvoorbeeld wanneer de prijs of het kostenelement de vorm aanneemt van een vooraf vastgestelde prijs of kost, of in de bijzondere situatie van een zeer kleine markt en indien zonder beurtrol het gevaar bestaat dat de markt uitdroogt</w:t>
      </w:r>
      <w:r w:rsidRPr="000E5C87">
        <w:t>.”. In het belang van de kmo’s lijkt het op zijn minst reflecteren over een dergelijke optie door de aanbesteder, verantwoord en zelfs aangewezen.</w:t>
      </w:r>
    </w:p>
    <w:p w14:paraId="53E6BA64" w14:textId="0BF373BA" w:rsidR="00B104F3" w:rsidRPr="00891B06" w:rsidRDefault="00B104F3" w:rsidP="00C810A8">
      <w:r>
        <w:t>De mogelijkheid om een raamovereenkomst aan een dan wel meerdere ondernemers te gunnen</w:t>
      </w:r>
      <w:r w:rsidR="00E220EF">
        <w:t>,</w:t>
      </w:r>
      <w:r>
        <w:t xml:space="preserve"> moet opdracht per opdracht grondig overwogen worden. </w:t>
      </w:r>
    </w:p>
    <w:p w14:paraId="1BC8A43D" w14:textId="77777777" w:rsidR="00C810A8" w:rsidRPr="00891B06" w:rsidRDefault="00C810A8" w:rsidP="00C810A8">
      <w:r w:rsidRPr="00891B06">
        <w:t xml:space="preserve">De uitvoering van de opdracht is, per contract, gekoppeld aan bepaalde uitvoeringstermijnen. Soms liggen deze termijnen vast, soms staat vermeld dat voor elke deelopdracht een aparte uitvoeringstermijn wordt bepaald. </w:t>
      </w:r>
    </w:p>
    <w:p w14:paraId="7B517D9E" w14:textId="315ACAC4" w:rsidR="00C810A8" w:rsidRDefault="00C810A8" w:rsidP="00C810A8">
      <w:r w:rsidRPr="00757830">
        <w:rPr>
          <w:b/>
          <w:bCs/>
        </w:rPr>
        <w:t>Ter conclusie</w:t>
      </w:r>
      <w:r>
        <w:t xml:space="preserve"> kunnen we als </w:t>
      </w:r>
      <w:r w:rsidRPr="00757830">
        <w:rPr>
          <w:b/>
          <w:bCs/>
        </w:rPr>
        <w:t>belangrijkste kenmerken en mogelijkheden</w:t>
      </w:r>
      <w:r>
        <w:t xml:space="preserve"> van de raamovereenkomst volgende </w:t>
      </w:r>
      <w:r w:rsidR="00F97328">
        <w:t xml:space="preserve">zaken </w:t>
      </w:r>
      <w:r>
        <w:t>identificeren:</w:t>
      </w:r>
    </w:p>
    <w:p w14:paraId="004CFEDA" w14:textId="77777777" w:rsidR="00C810A8" w:rsidRPr="00DA42A8" w:rsidRDefault="00C810A8" w:rsidP="00C810A8">
      <w:pPr>
        <w:pStyle w:val="Bullet1"/>
        <w:rPr>
          <w:lang w:val="nl-BE"/>
        </w:rPr>
      </w:pPr>
      <w:r w:rsidRPr="00DA42A8">
        <w:rPr>
          <w:lang w:val="nl-BE"/>
        </w:rPr>
        <w:t>het gunnen aan één of meerdere ondernemers;</w:t>
      </w:r>
    </w:p>
    <w:p w14:paraId="24D9ACC4" w14:textId="77777777" w:rsidR="00C810A8" w:rsidRPr="00DA42A8" w:rsidRDefault="00C810A8" w:rsidP="00C810A8">
      <w:pPr>
        <w:pStyle w:val="Bullet1"/>
        <w:rPr>
          <w:lang w:val="nl-BE"/>
        </w:rPr>
      </w:pPr>
      <w:r w:rsidRPr="00DA42A8">
        <w:rPr>
          <w:lang w:val="nl-BE"/>
        </w:rPr>
        <w:t>de afname door één of meerdere afnemers (aanbesteders);</w:t>
      </w:r>
    </w:p>
    <w:p w14:paraId="4DC59E31" w14:textId="77777777" w:rsidR="00C810A8" w:rsidRPr="00DA42A8" w:rsidRDefault="00C810A8" w:rsidP="00C810A8">
      <w:pPr>
        <w:pStyle w:val="Bullet1"/>
        <w:rPr>
          <w:lang w:val="nl-BE"/>
        </w:rPr>
      </w:pPr>
      <w:r w:rsidRPr="00DA42A8">
        <w:rPr>
          <w:lang w:val="nl-BE"/>
        </w:rPr>
        <w:t>een looptijd tot (in principe) maximum 4 jaar, in uitzonderlijke gevallen kan een langere looptijd;</w:t>
      </w:r>
    </w:p>
    <w:p w14:paraId="31528E80" w14:textId="77777777" w:rsidR="00C810A8" w:rsidRPr="00DA42A8" w:rsidRDefault="00C810A8" w:rsidP="00C810A8">
      <w:pPr>
        <w:pStyle w:val="Bullet1"/>
        <w:rPr>
          <w:lang w:val="nl-BE"/>
        </w:rPr>
      </w:pPr>
      <w:r w:rsidRPr="00DA42A8">
        <w:rPr>
          <w:lang w:val="nl-BE"/>
        </w:rPr>
        <w:t>de mogelijkheid tot onder meer een minicompetitie, een cascadesysteem of een rotatiesysteem;</w:t>
      </w:r>
    </w:p>
    <w:p w14:paraId="47319007" w14:textId="28BC5EF5" w:rsidR="00C810A8" w:rsidRPr="008571CD" w:rsidRDefault="00C810A8" w:rsidP="00C810A8">
      <w:pPr>
        <w:pStyle w:val="Bullet1"/>
        <w:rPr>
          <w:lang w:val="nl-BE"/>
        </w:rPr>
      </w:pPr>
      <w:r w:rsidRPr="008571CD">
        <w:rPr>
          <w:lang w:val="nl-BE"/>
        </w:rPr>
        <w:t>geen afnameplicht.</w:t>
      </w:r>
    </w:p>
    <w:p w14:paraId="536F39FA" w14:textId="77777777" w:rsidR="00C810A8" w:rsidRDefault="00C810A8" w:rsidP="00C810A8">
      <w:r>
        <w:t xml:space="preserve">De impact van die kenmerken op de (kleinere) onderneming is echter niet eenduidig: </w:t>
      </w:r>
    </w:p>
    <w:p w14:paraId="6D101910" w14:textId="360128BF" w:rsidR="00C810A8" w:rsidRPr="00DA42A8" w:rsidRDefault="00C810A8" w:rsidP="00C810A8">
      <w:pPr>
        <w:pStyle w:val="Bullet1"/>
        <w:rPr>
          <w:lang w:val="nl-BE"/>
        </w:rPr>
      </w:pPr>
      <w:r w:rsidRPr="00DA42A8">
        <w:rPr>
          <w:lang w:val="nl-BE"/>
        </w:rPr>
        <w:t xml:space="preserve">enerzijds </w:t>
      </w:r>
      <w:r w:rsidR="00873EFE">
        <w:rPr>
          <w:lang w:val="nl-BE"/>
        </w:rPr>
        <w:t>biedt</w:t>
      </w:r>
      <w:r w:rsidR="00873EFE" w:rsidRPr="00DA42A8">
        <w:rPr>
          <w:lang w:val="nl-BE"/>
        </w:rPr>
        <w:t xml:space="preserve"> </w:t>
      </w:r>
      <w:r w:rsidRPr="00DA42A8">
        <w:rPr>
          <w:lang w:val="nl-BE"/>
        </w:rPr>
        <w:t xml:space="preserve">een raamovereenkomst een zekere stabiliteit gedurende </w:t>
      </w:r>
      <w:r w:rsidR="00335201">
        <w:rPr>
          <w:lang w:val="nl-BE"/>
        </w:rPr>
        <w:t xml:space="preserve">(in principe) </w:t>
      </w:r>
      <w:r w:rsidRPr="00DA42A8">
        <w:rPr>
          <w:lang w:val="nl-BE"/>
        </w:rPr>
        <w:t>maximum vier jaar voor de opdrachtnemer. Wat concreet voor de winnende onderneming het voordeel oplevert dat ze niet meer moet meedingen en dus minder administratieve taken te volbrengen heeft en redelijkerwijs kan uitgaan van een bepaalde minimumomzet;</w:t>
      </w:r>
    </w:p>
    <w:p w14:paraId="1D9E7493" w14:textId="77777777" w:rsidR="00C810A8" w:rsidRPr="00DA42A8" w:rsidRDefault="00C810A8" w:rsidP="00C810A8">
      <w:pPr>
        <w:pStyle w:val="Bullet1"/>
        <w:rPr>
          <w:lang w:val="nl-BE"/>
        </w:rPr>
      </w:pPr>
      <w:r w:rsidRPr="00DA42A8">
        <w:rPr>
          <w:lang w:val="nl-BE"/>
        </w:rPr>
        <w:t xml:space="preserve">daartegenover staat anderzijds dat het administratieve voordeel vervalt als er in de raamovereenkomst gewerkt wordt met meerdere ondernemingen via een minicompetitie. Hetzelfde geldt voor de stabiliteit voor de opdrachtnemer binnen een raamovereenkomst met meerdere ondernemingen. In de praktijk heeft de onderneming immers een eerste barrière “overwonnen”, namelijk geselecteerd worden voor de raamovereenkomst. Tegelijk moet de onderneming nog de eigenlijke opdrachten zelf binnen halen. Die manier van werken en die praktische vaststelling kunnen belemmerend werken voor de toegang van kmo’s tot overheidsopdrachten; </w:t>
      </w:r>
    </w:p>
    <w:p w14:paraId="62EAE552" w14:textId="5EDA5AB0" w:rsidR="00C810A8" w:rsidRPr="00DA42A8" w:rsidRDefault="00C810A8" w:rsidP="00C810A8">
      <w:pPr>
        <w:pStyle w:val="Bullet1"/>
        <w:rPr>
          <w:lang w:val="nl-BE"/>
        </w:rPr>
      </w:pPr>
      <w:r w:rsidRPr="00DA42A8">
        <w:rPr>
          <w:lang w:val="nl-BE"/>
        </w:rPr>
        <w:t xml:space="preserve">daarnaast is er, na het sluiten van de raamovereenkomst, gedurende </w:t>
      </w:r>
      <w:r w:rsidR="002C5E50">
        <w:rPr>
          <w:lang w:val="nl-BE"/>
        </w:rPr>
        <w:t xml:space="preserve">(in principe) </w:t>
      </w:r>
      <w:r w:rsidRPr="00DA42A8">
        <w:rPr>
          <w:lang w:val="nl-BE"/>
        </w:rPr>
        <w:t xml:space="preserve">maximum vier jaar minder mededinging en zijn er minder opdrachten om naar mee te dingen voor ondernemingen die niet weerhouden werden voor de raamovereenkomst. Bovendien rekenen ondernemingen bij de prijszetting voor een raamovereenkomst op de vooropgestelde volumes, maar daar bestaat vaak geen zekerheid over. Indien die volumes niet gehaald worden, kan dat de rendabiliteit van de onderneming schaden, zowel in de zin van inkomensverlies als gedane investeringen die niet de verwachte return bieden. </w:t>
      </w:r>
    </w:p>
    <w:p w14:paraId="686C6449" w14:textId="0AA6ACD2" w:rsidR="00C810A8" w:rsidRDefault="00C810A8" w:rsidP="00C810A8">
      <w:r>
        <w:t xml:space="preserve">Samengevat kan een raamovereenkomst </w:t>
      </w:r>
      <w:r w:rsidRPr="00D67B2E">
        <w:t xml:space="preserve">in een aantal </w:t>
      </w:r>
      <w:r w:rsidR="008F740C">
        <w:t xml:space="preserve">specifieke </w:t>
      </w:r>
      <w:r w:rsidRPr="00D67B2E">
        <w:t>gevallen serieuze, negatieve gevolgen hebben voor ondernemingen zoals bij een combinatie van minicompetitie en een beperkte afname op het contract.</w:t>
      </w:r>
      <w:r>
        <w:t xml:space="preserve"> </w:t>
      </w:r>
      <w:r w:rsidRPr="00DF6433">
        <w:rPr>
          <w:b/>
          <w:bCs/>
          <w:color w:val="0070C0"/>
        </w:rPr>
        <w:t>De aanbesteder doet er</w:t>
      </w:r>
      <w:r w:rsidR="00DC1A67" w:rsidRPr="00DF6433">
        <w:rPr>
          <w:b/>
          <w:bCs/>
          <w:color w:val="0070C0"/>
        </w:rPr>
        <w:t xml:space="preserve"> dus</w:t>
      </w:r>
      <w:r w:rsidRPr="00DF6433">
        <w:rPr>
          <w:b/>
          <w:bCs/>
          <w:color w:val="0070C0"/>
        </w:rPr>
        <w:t xml:space="preserve"> goed aan om </w:t>
      </w:r>
      <w:r w:rsidR="00DF6433" w:rsidRPr="00DF6433">
        <w:rPr>
          <w:b/>
          <w:bCs/>
          <w:color w:val="0070C0"/>
        </w:rPr>
        <w:t xml:space="preserve">minstens </w:t>
      </w:r>
      <w:r w:rsidRPr="00DF6433">
        <w:rPr>
          <w:b/>
          <w:bCs/>
          <w:color w:val="0070C0"/>
        </w:rPr>
        <w:t>de optie om te werken met gegarandeerde minimale hoeveelheden te overwegen</w:t>
      </w:r>
      <w:r w:rsidRPr="00B83D4D">
        <w:rPr>
          <w:b/>
          <w:bCs/>
          <w:color w:val="0070C0"/>
        </w:rPr>
        <w:t>,</w:t>
      </w:r>
      <w:r w:rsidRPr="00D21F44">
        <w:rPr>
          <w:b/>
          <w:bCs/>
        </w:rPr>
        <w:t xml:space="preserve"> waarbij die minima gebaseerd zijn op een grondige marktverkenning.</w:t>
      </w:r>
      <w:r>
        <w:t xml:space="preserve"> </w:t>
      </w:r>
    </w:p>
    <w:p w14:paraId="21503B22" w14:textId="2FB4AE3C" w:rsidR="00C810A8" w:rsidRPr="00891B06" w:rsidRDefault="00C810A8" w:rsidP="00C810A8">
      <w:r w:rsidRPr="00A50E63">
        <w:t>Besef eveneens dat langdurig</w:t>
      </w:r>
      <w:r w:rsidR="00AC4FC4">
        <w:t>e</w:t>
      </w:r>
      <w:r w:rsidRPr="00A50E63">
        <w:t xml:space="preserve"> en grootschalige raamovereenkomsten een serieuze impact kunnen hebben op de markt en de marktsituatie na afloop van een bestaande raamovereenkomst</w:t>
      </w:r>
      <w:r>
        <w:t>. Wanneer immers gedurende een aantal jaren een de facto monopolie</w:t>
      </w:r>
      <w:r w:rsidR="008738E4">
        <w:t xml:space="preserve"> of oligopolie</w:t>
      </w:r>
      <w:r>
        <w:t xml:space="preserve"> in (een deel van) de publieke sector wordt toegekend aan één</w:t>
      </w:r>
      <w:r w:rsidR="00F3264C">
        <w:t xml:space="preserve"> of enkele</w:t>
      </w:r>
      <w:r>
        <w:t xml:space="preserve"> onderneming</w:t>
      </w:r>
      <w:r w:rsidR="00F3264C">
        <w:t>en</w:t>
      </w:r>
      <w:r>
        <w:t xml:space="preserve">, kan het zijn dat na afloop van die raamovereenkomst er bij het lanceren van een volgende raamovereenkomst nog </w:t>
      </w:r>
      <w:r>
        <w:lastRenderedPageBreak/>
        <w:t xml:space="preserve">amper concurrentie bestaat – wat ook negatieve gevolgen voor de </w:t>
      </w:r>
      <w:r w:rsidR="004474B6">
        <w:t>aanbesteder</w:t>
      </w:r>
      <w:r>
        <w:t xml:space="preserve"> met zich meebrengt.</w:t>
      </w:r>
    </w:p>
    <w:p w14:paraId="1DF94F6F" w14:textId="44D943D6" w:rsidR="00C810A8" w:rsidRDefault="00C810A8" w:rsidP="00C810A8">
      <w:r w:rsidRPr="00891B06">
        <w:t xml:space="preserve">Meer informatie </w:t>
      </w:r>
      <w:r>
        <w:t xml:space="preserve"> en instructies </w:t>
      </w:r>
      <w:r w:rsidRPr="00891B06">
        <w:t>over het gebruik van raamovereenkomsten</w:t>
      </w:r>
      <w:r>
        <w:t xml:space="preserve"> door federale aanbesteders kan worden gevonden in</w:t>
      </w:r>
      <w:r w:rsidRPr="00891B06">
        <w:t xml:space="preserve"> de</w:t>
      </w:r>
      <w:r>
        <w:t xml:space="preserve"> reeds vermelde </w:t>
      </w:r>
      <w:r w:rsidRPr="002065AC">
        <w:t xml:space="preserve">omzendbrief van </w:t>
      </w:r>
      <w:hyperlink r:id="rId104" w:anchor="Page144" w:history="1">
        <w:r w:rsidRPr="002065AC">
          <w:rPr>
            <w:rStyle w:val="Hyperlink"/>
          </w:rPr>
          <w:t>28 juni 2022</w:t>
        </w:r>
      </w:hyperlink>
      <w:r w:rsidRPr="00891B06">
        <w:t xml:space="preserve"> </w:t>
      </w:r>
      <w:r>
        <w:t>inzake raamovereenkomsten</w:t>
      </w:r>
      <w:r w:rsidR="00FE100F">
        <w:t xml:space="preserve"> en in het reeds aangehaalde KB van 21 juli 2023</w:t>
      </w:r>
      <w:r w:rsidRPr="00891B06">
        <w:t xml:space="preserve">. </w:t>
      </w:r>
    </w:p>
    <w:p w14:paraId="00692521" w14:textId="77184FC3" w:rsidR="00C810A8" w:rsidRPr="00A83640" w:rsidRDefault="00C810A8" w:rsidP="00C810A8">
      <w:pPr>
        <w:pStyle w:val="Kop3"/>
      </w:pPr>
      <w:r>
        <w:t xml:space="preserve"> </w:t>
      </w:r>
      <w:bookmarkStart w:id="215" w:name="_Toc135840023"/>
      <w:bookmarkStart w:id="216" w:name="_Toc150870628"/>
      <w:r>
        <w:t>Het kwalificatiesysteem</w:t>
      </w:r>
      <w:bookmarkEnd w:id="215"/>
      <w:bookmarkEnd w:id="216"/>
      <w:r>
        <w:t xml:space="preserve"> </w:t>
      </w:r>
    </w:p>
    <w:p w14:paraId="5CC20142" w14:textId="77777777" w:rsidR="00C810A8" w:rsidRDefault="00C810A8" w:rsidP="00C810A8">
      <w:r w:rsidRPr="00462BC4">
        <w:t xml:space="preserve">Tot slot </w:t>
      </w:r>
      <w:r>
        <w:t>staat het charter stil bij</w:t>
      </w:r>
      <w:r w:rsidRPr="00462BC4">
        <w:t xml:space="preserve"> de mogelijkheid </w:t>
      </w:r>
      <w:r>
        <w:t>om</w:t>
      </w:r>
      <w:r w:rsidRPr="00462BC4">
        <w:t xml:space="preserve"> een kwalificatiesysteem </w:t>
      </w:r>
      <w:r>
        <w:t>te voorzien</w:t>
      </w:r>
      <w:r w:rsidRPr="00462BC4">
        <w:t>.</w:t>
      </w:r>
    </w:p>
    <w:p w14:paraId="5223B733" w14:textId="77777777" w:rsidR="004C18CC" w:rsidRDefault="00C810A8" w:rsidP="00C810A8">
      <w:r w:rsidRPr="004B6D94">
        <w:t xml:space="preserve">Het kwalificatiesysteem is een continu en voor alle marktspelers open systeem, dat blijft bestaan tot de </w:t>
      </w:r>
      <w:r>
        <w:t>aanbestedende overheid</w:t>
      </w:r>
      <w:r w:rsidRPr="004B6D94">
        <w:t xml:space="preserve"> het opheft. </w:t>
      </w:r>
      <w:r w:rsidRPr="00891B06">
        <w:t xml:space="preserve">Een </w:t>
      </w:r>
      <w:r w:rsidRPr="004071F9">
        <w:rPr>
          <w:b/>
          <w:bCs/>
        </w:rPr>
        <w:t>kwalificatiesysteem</w:t>
      </w:r>
      <w:r w:rsidRPr="00891B06">
        <w:t xml:space="preserve"> kan worden voorzien voor een niet-openbare procedure of een mededingingsprocedure met onderhandeling, onder de Europese drempels. </w:t>
      </w:r>
    </w:p>
    <w:p w14:paraId="01251EC2" w14:textId="77777777" w:rsidR="007872DA" w:rsidRDefault="00C810A8" w:rsidP="00C810A8">
      <w:r w:rsidRPr="00891B06">
        <w:t xml:space="preserve">Door middel van een kwalificatiesysteem kan de aanbesteder </w:t>
      </w:r>
      <w:r w:rsidRPr="004071F9">
        <w:rPr>
          <w:b/>
          <w:bCs/>
        </w:rPr>
        <w:t>de selectiefase generiek maken voor een reeks vergelijkbare opdrachten gedurende een bepaalde looptijd</w:t>
      </w:r>
      <w:r w:rsidRPr="00891B06">
        <w:t xml:space="preserve">. De bekendmaking van meerdere aankondigingen op Belgisch niveau voor gelijkaardige opdrachten wordt dan vervangen door één enkele periodieke bekendmaking. Zo vervangt het kwalificatiesysteem de eerste stap bij tweestapsprocedures. </w:t>
      </w:r>
    </w:p>
    <w:p w14:paraId="22C00AA3" w14:textId="6CA1401A" w:rsidR="00C810A8" w:rsidRPr="00891B06" w:rsidRDefault="00C810A8" w:rsidP="00C810A8">
      <w:r w:rsidRPr="00891B06">
        <w:t xml:space="preserve">Dit systeem vereist dat er voor elke specifieke opdracht offertes worden gevraagd aan de gekwalificeerden, zodat de tweede stap van de procedure gevoerd wordt volgens de </w:t>
      </w:r>
      <w:r>
        <w:t>“</w:t>
      </w:r>
      <w:r w:rsidRPr="00891B06">
        <w:t>normale</w:t>
      </w:r>
      <w:r>
        <w:t>”</w:t>
      </w:r>
      <w:r w:rsidRPr="00891B06">
        <w:t xml:space="preserve"> regels. </w:t>
      </w:r>
      <w:r w:rsidRPr="00125DF1">
        <w:rPr>
          <w:b/>
          <w:bCs/>
        </w:rPr>
        <w:t>Het gebruik van een kwalificatiesysteem is nuttig in geval van gelijkaardige opdrachten die in de loop van een bepaalde periode een zekere regelmaat vertonen</w:t>
      </w:r>
      <w:r w:rsidRPr="007213EB">
        <w:rPr>
          <w:b/>
          <w:bCs/>
        </w:rPr>
        <w:t>.</w:t>
      </w:r>
      <w:r w:rsidRPr="00891B06">
        <w:t xml:space="preserve"> </w:t>
      </w:r>
    </w:p>
    <w:p w14:paraId="586AE132" w14:textId="77777777" w:rsidR="00AE132A" w:rsidRDefault="00C810A8" w:rsidP="00C810A8">
      <w:r w:rsidRPr="00891B06">
        <w:t xml:space="preserve">De aanbesteder maakt de aankondiging van een kwalificatiesysteem bekend door middel van het daartoe voorziene formulier. Met het oog op transparantie, wordt de aankondiging jaarlijks bekendgemaakt en na elke actualisering. </w:t>
      </w:r>
    </w:p>
    <w:p w14:paraId="3C64E1B6" w14:textId="6D25A654" w:rsidR="00C810A8" w:rsidRPr="00891B06" w:rsidRDefault="00C810A8" w:rsidP="00C810A8">
      <w:r w:rsidRPr="00891B06">
        <w:t xml:space="preserve">Het kwalificatiesysteem is toegankelijk voor alle marktspelers, waardoor alle belangstellende ondernemers op ieder ogenblik kunnen vragen om te worden opgenomen in een door een aanbesteder ingesteld kwalificatiesysteem. De aanbesteder beheert ieder kwalificatiesysteem op basis van regels en criteria, die hij vastlegt overeenkomstig de regels inzake selectie en gunning. Deze worden meegedeeld aan de ondernemers die erom verzoeken. Indien nodig worden de regels en criteria regelmatig geactualiseerd. </w:t>
      </w:r>
    </w:p>
    <w:p w14:paraId="0533DC70" w14:textId="77777777" w:rsidR="00C810A8" w:rsidRPr="00891B06" w:rsidRDefault="00C810A8" w:rsidP="00C810A8">
      <w:r w:rsidRPr="00891B06">
        <w:t xml:space="preserve">De aanbesteder neemt zijn beslissing over de kwalificatie binnen een termijn van vier maanden vanaf de indiening van de aanvraag. De gemotiveerde intentie tot intrekking wordt vooraf schriftelijk meegedeeld aan de betrokkene, die binnen vijftien dagen een schriftelijk verweer kan indienen, waarna een beslissing wordt genomen. </w:t>
      </w:r>
    </w:p>
    <w:p w14:paraId="319C5595" w14:textId="77777777" w:rsidR="00C810A8" w:rsidRPr="00891B06" w:rsidRDefault="00C810A8" w:rsidP="00C810A8">
      <w:r w:rsidRPr="00891B06">
        <w:t xml:space="preserve">Vóór de uitnodiging tot het indienen van een offerte en rekening houdend met het voorwerp en de specifieke kenmerken van een bepaalde opdracht en met het aantal gekwalificeerde kandidaten, kan de aanbesteder </w:t>
      </w:r>
      <w:r w:rsidRPr="005142E4">
        <w:rPr>
          <w:b/>
          <w:bCs/>
        </w:rPr>
        <w:t>overgaan tot een selectie onder de gekwalificeerde kandidaten op grond van de regels inzake selectie</w:t>
      </w:r>
      <w:r w:rsidRPr="00891B06">
        <w:t xml:space="preserve">. </w:t>
      </w:r>
    </w:p>
    <w:p w14:paraId="558C0500" w14:textId="77777777" w:rsidR="00C810A8" w:rsidRPr="00891B06" w:rsidRDefault="00C810A8" w:rsidP="00C810A8">
      <w:r w:rsidRPr="00891B06">
        <w:t xml:space="preserve">Daarbij dient de overheid </w:t>
      </w:r>
      <w:r w:rsidRPr="005142E4">
        <w:rPr>
          <w:b/>
          <w:bCs/>
        </w:rPr>
        <w:t>een minimaal aantal aan concurrenten te respecteren</w:t>
      </w:r>
      <w:r w:rsidRPr="00891B06">
        <w:t xml:space="preserve">. Voor niet-openbare procedures bedraagt dit minimum vijf, terwijl voor mededingingsprocedures met onderhandeling er minimum drie concurrenten moeten zijn. De overheid moet in elk geval de daadwerkelijke mededinging voldoende waarborgen. </w:t>
      </w:r>
    </w:p>
    <w:p w14:paraId="77A8C2F6" w14:textId="77777777" w:rsidR="00C810A8" w:rsidRPr="00891B06" w:rsidRDefault="00C810A8" w:rsidP="00C810A8">
      <w:r w:rsidRPr="00891B06">
        <w:t xml:space="preserve">De plaatsingsprocedure wordt ten laatste bepaald op het ogenblik van de uitnodiging tot het indienen van een offerte aan de gekwalificeerde kandidaten. </w:t>
      </w:r>
    </w:p>
    <w:p w14:paraId="204C6223" w14:textId="255680F8" w:rsidR="00C810A8" w:rsidRDefault="00C810A8" w:rsidP="00C810A8">
      <w:r>
        <w:t>Samengevat kunnen we stellen dat het kwalificatiesysteem enerzijds gekenmerkt wordt door een</w:t>
      </w:r>
      <w:r w:rsidRPr="00891B06">
        <w:t xml:space="preserve"> beperkt toepassingsgebied </w:t>
      </w:r>
      <w:r>
        <w:t xml:space="preserve">– met name opdrachten </w:t>
      </w:r>
      <w:r w:rsidRPr="00891B06">
        <w:t xml:space="preserve">onder de Europese drempels </w:t>
      </w:r>
      <w:r>
        <w:t xml:space="preserve">die gebruik maken van een </w:t>
      </w:r>
      <w:r w:rsidRPr="00891B06">
        <w:t xml:space="preserve">niet-openbare procedure of </w:t>
      </w:r>
      <w:r>
        <w:t xml:space="preserve">een </w:t>
      </w:r>
      <w:r w:rsidRPr="00891B06">
        <w:t>mededingingsprocedure met onderhandeling</w:t>
      </w:r>
      <w:r w:rsidR="00B30FF4">
        <w:t>,</w:t>
      </w:r>
      <w:r w:rsidRPr="00891B06">
        <w:t xml:space="preserve"> </w:t>
      </w:r>
      <w:r>
        <w:t>én het moet gaan om</w:t>
      </w:r>
      <w:r w:rsidRPr="00891B06">
        <w:t xml:space="preserve"> gelijkaardige opdrachten</w:t>
      </w:r>
      <w:r>
        <w:t>. Anderzijds betreft het een</w:t>
      </w:r>
      <w:r w:rsidRPr="00891B06">
        <w:t xml:space="preserve"> continu en open systeem met een periodieke bekendmaking</w:t>
      </w:r>
      <w:r>
        <w:t>. Qua impact op de onderneming kunnen we dus het volgende concluderen:</w:t>
      </w:r>
    </w:p>
    <w:p w14:paraId="2D5D9B7A" w14:textId="77777777" w:rsidR="00C810A8" w:rsidRPr="00DA42A8" w:rsidRDefault="00C810A8" w:rsidP="009B5EBE">
      <w:pPr>
        <w:pStyle w:val="Bullet1"/>
        <w:rPr>
          <w:lang w:val="nl-BE"/>
        </w:rPr>
      </w:pPr>
      <w:r w:rsidRPr="00DA42A8">
        <w:rPr>
          <w:lang w:val="nl-BE"/>
        </w:rPr>
        <w:t>gezien het open karakter van het systeem kan elke ondernemer op elk moment een kandidatuur indienen;</w:t>
      </w:r>
    </w:p>
    <w:p w14:paraId="7B226B16" w14:textId="77777777" w:rsidR="00C810A8" w:rsidRPr="00DA42A8" w:rsidRDefault="00C810A8" w:rsidP="009B5EBE">
      <w:pPr>
        <w:pStyle w:val="Bullet1"/>
        <w:rPr>
          <w:lang w:val="nl-BE"/>
        </w:rPr>
      </w:pPr>
      <w:r w:rsidRPr="00DA42A8">
        <w:rPr>
          <w:lang w:val="nl-BE"/>
        </w:rPr>
        <w:lastRenderedPageBreak/>
        <w:t>er is noch een garantie op selectie, noch op het toegekend krijgen van opdrachten. Maar eenmaal geselecteerd moet de selectiefase niet meer doorlopen worden voor vervolgopdrachten;</w:t>
      </w:r>
    </w:p>
    <w:p w14:paraId="72732E0A" w14:textId="77777777" w:rsidR="00C810A8" w:rsidRPr="00DA42A8" w:rsidRDefault="00C810A8" w:rsidP="009B5EBE">
      <w:pPr>
        <w:pStyle w:val="Bullet1"/>
        <w:rPr>
          <w:lang w:val="nl-BE"/>
        </w:rPr>
      </w:pPr>
      <w:r w:rsidRPr="00DA42A8">
        <w:rPr>
          <w:lang w:val="nl-BE"/>
        </w:rPr>
        <w:t>het verplichte minimum aan mededinging heeft als gevolg dat er altijd een kans is op het toegekend krijgen van een opdracht, maar tegelijk nooit een garantie.</w:t>
      </w:r>
    </w:p>
    <w:p w14:paraId="34DD7588" w14:textId="0CBDA031" w:rsidR="00196987" w:rsidRDefault="004E52DF" w:rsidP="00196987">
      <w:r>
        <w:t>Alles samengenomen lijkt h</w:t>
      </w:r>
      <w:r w:rsidR="00C810A8">
        <w:t>et kwalificatiesysteem dus een vrij evenwichtige oplossing te zijn naar de ondernemingen toe</w:t>
      </w:r>
      <w:r w:rsidR="008E35A4">
        <w:t xml:space="preserve"> en is het aangewezen het gebruik ervan systematisch te overwegen</w:t>
      </w:r>
      <w:r w:rsidR="00C810A8">
        <w:t xml:space="preserve">. </w:t>
      </w:r>
    </w:p>
    <w:p w14:paraId="2EF29F79" w14:textId="77777777" w:rsidR="00196987" w:rsidRPr="009069A3" w:rsidRDefault="00196987">
      <w:pPr>
        <w:pStyle w:val="Kop2"/>
      </w:pPr>
      <w:r>
        <w:t xml:space="preserve"> </w:t>
      </w:r>
      <w:bookmarkStart w:id="217" w:name="_Toc135840024"/>
      <w:bookmarkStart w:id="218" w:name="_Toc150870629"/>
      <w:r>
        <w:t>Richtlijnen en instructies</w:t>
      </w:r>
      <w:bookmarkEnd w:id="217"/>
      <w:bookmarkEnd w:id="218"/>
    </w:p>
    <w:p w14:paraId="0E262007" w14:textId="77777777" w:rsidR="00CE3145" w:rsidRPr="00CD0086" w:rsidRDefault="00CE3145">
      <w:pPr>
        <w:pStyle w:val="Lijstnummering"/>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Ga na, op basis van de diverse kenmerken en voor- en nadelen van elke procedure, welk type procedure het meest geschikt is voor een bepaalde situatie waar overheidsopdrachten van kleine omvang voorkomen – al dan niet in repetitieve vorm. </w:t>
      </w:r>
    </w:p>
    <w:p w14:paraId="67A77239" w14:textId="77777777" w:rsidR="00CE3145" w:rsidRPr="006B2FFD" w:rsidRDefault="00CE3145">
      <w:pPr>
        <w:pStyle w:val="Lijstnummering"/>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rsidRPr="00CE3145">
        <w:rPr>
          <w:lang w:val="nl-NL"/>
        </w:rPr>
        <w:t xml:space="preserve">Bij gebruik van de </w:t>
      </w:r>
      <w:r w:rsidRPr="00F91FE6">
        <w:rPr>
          <w:b/>
          <w:bCs/>
          <w:lang w:val="nl-NL"/>
        </w:rPr>
        <w:t>aanvaarde factuur</w:t>
      </w:r>
      <w:r w:rsidRPr="00CE3145">
        <w:rPr>
          <w:lang w:val="nl-NL"/>
        </w:rPr>
        <w:t>, vraag bij voorkeur een offerte of een prijsaanvraag en dat via de meest eenvoudige weg en zonder bijkomende vormvereisten of andere bepalingen op te leggen.</w:t>
      </w:r>
      <w:r w:rsidRPr="006B2FFD">
        <w:t> </w:t>
      </w:r>
      <w:r>
        <w:t xml:space="preserve">De nieuwe rapporteringsverplichting voor opdrachten van beperkte waarde mag niet leiden tot het inruilen van de aanvaarde factuur voor complexere procedures: het een staat niet in verhouding tot het ander. </w:t>
      </w:r>
      <w:r w:rsidRPr="00CE3145">
        <w:rPr>
          <w:lang w:val="nl-NL"/>
        </w:rPr>
        <w:t>Raadpleeg bovendien, indien mogelijk, op een transparante, niet-discriminerende wijze meerdere ondernemers, zodat de voorwaarden van een eventuele aankoop duidelijk gekend zijn, met name over de prijzen en andere verkoopsvoorwaarden.</w:t>
      </w:r>
      <w:r w:rsidRPr="006B2FFD">
        <w:t> </w:t>
      </w:r>
    </w:p>
    <w:p w14:paraId="1DD5F211" w14:textId="1A1CC5D6" w:rsidR="00CE3145" w:rsidRPr="00891B06" w:rsidRDefault="00CE3145">
      <w:pPr>
        <w:pStyle w:val="Lijstnummering"/>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rsidRPr="00CE3145">
        <w:rPr>
          <w:lang w:val="nl-NL"/>
        </w:rPr>
        <w:t xml:space="preserve">Neem, in het geval </w:t>
      </w:r>
      <w:r w:rsidR="007B6390">
        <w:rPr>
          <w:lang w:val="nl-NL"/>
        </w:rPr>
        <w:t xml:space="preserve">dat </w:t>
      </w:r>
      <w:r w:rsidRPr="00CE3145">
        <w:rPr>
          <w:lang w:val="nl-NL"/>
        </w:rPr>
        <w:t>kleine soortgelijke opdrachten herhaaldelijk worden geplaatst, de reële of geraamde waarde ervan over een periode van twaalf maanden</w:t>
      </w:r>
      <w:r w:rsidR="00043E94">
        <w:rPr>
          <w:lang w:val="nl-NL"/>
        </w:rPr>
        <w:t>,</w:t>
      </w:r>
      <w:r w:rsidRPr="00CE3145">
        <w:rPr>
          <w:lang w:val="nl-NL"/>
        </w:rPr>
        <w:t xml:space="preserve"> overweeg hiervoor het afsluiten van raamovereenkomst</w:t>
      </w:r>
      <w:r w:rsidR="003C70C4">
        <w:rPr>
          <w:lang w:val="nl-NL"/>
        </w:rPr>
        <w:t>en</w:t>
      </w:r>
      <w:r w:rsidRPr="00CE3145">
        <w:rPr>
          <w:lang w:val="nl-NL"/>
        </w:rPr>
        <w:t xml:space="preserve"> </w:t>
      </w:r>
      <w:r w:rsidR="009C6824">
        <w:rPr>
          <w:lang w:val="nl-NL"/>
        </w:rPr>
        <w:t>en geef</w:t>
      </w:r>
      <w:r w:rsidRPr="00CE3145">
        <w:rPr>
          <w:lang w:val="nl-NL"/>
        </w:rPr>
        <w:t xml:space="preserve"> een juiste</w:t>
      </w:r>
      <w:r w:rsidR="009C6824">
        <w:rPr>
          <w:lang w:val="nl-NL"/>
        </w:rPr>
        <w:t>, realistische</w:t>
      </w:r>
      <w:r w:rsidRPr="00CE3145">
        <w:rPr>
          <w:lang w:val="nl-NL"/>
        </w:rPr>
        <w:t xml:space="preserve"> inschatting van</w:t>
      </w:r>
      <w:r w:rsidR="0055012A">
        <w:rPr>
          <w:lang w:val="nl-NL"/>
        </w:rPr>
        <w:t xml:space="preserve"> de</w:t>
      </w:r>
      <w:r w:rsidRPr="00CE3145">
        <w:rPr>
          <w:lang w:val="nl-NL"/>
        </w:rPr>
        <w:t xml:space="preserve"> volumes.</w:t>
      </w:r>
      <w:r w:rsidR="00DB6345">
        <w:rPr>
          <w:lang w:val="nl-NL"/>
        </w:rPr>
        <w:t xml:space="preserve"> </w:t>
      </w:r>
    </w:p>
    <w:p w14:paraId="57BA6DA4" w14:textId="134FE00C" w:rsidR="000B0B18" w:rsidRDefault="000B0B18" w:rsidP="00616380">
      <w:pPr>
        <w:pStyle w:val="Lijstnummering"/>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rsidRPr="00FE4878">
        <w:rPr>
          <w:b/>
          <w:bCs/>
          <w:color w:val="0070C0"/>
        </w:rPr>
        <w:t>Respecteer, als federale aanbesteder, het reglementaire kader</w:t>
      </w:r>
      <w:r w:rsidR="00FD4406" w:rsidRPr="00FE4878">
        <w:rPr>
          <w:b/>
          <w:bCs/>
          <w:color w:val="0070C0"/>
        </w:rPr>
        <w:t xml:space="preserve"> inzake raamovereenkomsten</w:t>
      </w:r>
      <w:r w:rsidR="00C40C5E" w:rsidRPr="00FE4878">
        <w:rPr>
          <w:b/>
          <w:bCs/>
          <w:color w:val="0070C0"/>
        </w:rPr>
        <w:t xml:space="preserve"> zoals uiteengezet in het KB van 21 juli 2023</w:t>
      </w:r>
      <w:r w:rsidR="00C40C5E" w:rsidRPr="00FE4878">
        <w:rPr>
          <w:color w:val="0070C0"/>
        </w:rPr>
        <w:t xml:space="preserve"> </w:t>
      </w:r>
      <w:r w:rsidR="00C40C5E">
        <w:t xml:space="preserve">inzake het federale aankoopbeleid </w:t>
      </w:r>
      <w:r w:rsidR="00C40C5E" w:rsidRPr="00FE4878">
        <w:rPr>
          <w:b/>
          <w:bCs/>
          <w:color w:val="0070C0"/>
        </w:rPr>
        <w:t>en de omzendbrief van 2</w:t>
      </w:r>
      <w:r w:rsidR="008A7CC1" w:rsidRPr="00FE4878">
        <w:rPr>
          <w:b/>
          <w:bCs/>
          <w:color w:val="0070C0"/>
        </w:rPr>
        <w:t>8</w:t>
      </w:r>
      <w:r w:rsidR="00C40C5E" w:rsidRPr="00FE4878">
        <w:rPr>
          <w:b/>
          <w:bCs/>
          <w:color w:val="0070C0"/>
        </w:rPr>
        <w:t xml:space="preserve"> juni 2022</w:t>
      </w:r>
      <w:r w:rsidR="007B7257">
        <w:t xml:space="preserve"> betreffende de praktische modaliteiten van de plaatsing en de uitvoering van de raamovereenkomst</w:t>
      </w:r>
      <w:r w:rsidR="00020167">
        <w:t xml:space="preserve"> in de context van federale aankopen. </w:t>
      </w:r>
    </w:p>
    <w:p w14:paraId="33B4253B" w14:textId="21626B48" w:rsidR="00CE3145" w:rsidRPr="00891B06" w:rsidRDefault="00CE3145">
      <w:pPr>
        <w:pStyle w:val="Lijstnummering"/>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Wanneer dus na de behoeftebepaling en de marktverkenning een </w:t>
      </w:r>
      <w:r w:rsidRPr="009A182F">
        <w:rPr>
          <w:b/>
          <w:bCs/>
        </w:rPr>
        <w:t>raamovereenkomst</w:t>
      </w:r>
      <w:r>
        <w:t xml:space="preserve"> de aangewezen optie blijkt te zijn, reflecteer dan grondig over de modaliteiten. </w:t>
      </w:r>
      <w:r w:rsidR="008C28D3">
        <w:rPr>
          <w:lang w:val="nl-NL"/>
        </w:rPr>
        <w:t xml:space="preserve">De modaliteiten moeten in verhouding staan ten opzichte van de waarde </w:t>
      </w:r>
      <w:r w:rsidR="00372B94">
        <w:rPr>
          <w:lang w:val="nl-NL"/>
        </w:rPr>
        <w:t>van de overeenkomst</w:t>
      </w:r>
      <w:r w:rsidR="008C28D3">
        <w:rPr>
          <w:lang w:val="nl-NL"/>
        </w:rPr>
        <w:t xml:space="preserve">. </w:t>
      </w:r>
      <w:r>
        <w:t>Wees er</w:t>
      </w:r>
      <w:r w:rsidR="004772A8">
        <w:t xml:space="preserve"> u</w:t>
      </w:r>
      <w:r>
        <w:t xml:space="preserve"> bewust van dat bepaalde combinaties van modaliteiten (heel) nadelig kunnen uitvallen voor de opdrachtnemers en de aanbesteders, en hou daarbij de opties over</w:t>
      </w:r>
      <w:r w:rsidR="00FD2FBE">
        <w:t xml:space="preserve"> onder meer</w:t>
      </w:r>
      <w:r>
        <w:t xml:space="preserve"> gegarandeerde minimale hoeveelheden en het rotatiesysteem in het achterhoofd. Besef eveneens dat langdurige en grootschalige raamovereenkomsten een serieuze impact kunnen hebben op de markt en de marktsituatie na afloop van een bestaande raamovereenkomst. </w:t>
      </w:r>
    </w:p>
    <w:p w14:paraId="210524F9" w14:textId="43834E88" w:rsidR="00CE3145" w:rsidRPr="00CD5828" w:rsidRDefault="00CE3145">
      <w:pPr>
        <w:pStyle w:val="Lijstnummering"/>
        <w:numPr>
          <w:ilvl w:val="0"/>
          <w:numId w:val="25"/>
        </w:numPr>
        <w:pBdr>
          <w:top w:val="single" w:sz="4" w:space="1" w:color="auto"/>
          <w:left w:val="single" w:sz="4" w:space="4" w:color="auto"/>
          <w:bottom w:val="single" w:sz="4" w:space="1" w:color="auto"/>
          <w:right w:val="single" w:sz="4" w:space="4" w:color="auto"/>
        </w:pBdr>
        <w:shd w:val="clear" w:color="auto" w:fill="FBE4D5" w:themeFill="accent2" w:themeFillTint="33"/>
      </w:pPr>
      <w:r w:rsidRPr="00891B06">
        <w:t xml:space="preserve">Maak </w:t>
      </w:r>
      <w:r>
        <w:t>–</w:t>
      </w:r>
      <w:r w:rsidRPr="00891B06">
        <w:t xml:space="preserve"> indien de procedure het toelaat </w:t>
      </w:r>
      <w:r>
        <w:t>–</w:t>
      </w:r>
      <w:r w:rsidRPr="00891B06">
        <w:t xml:space="preserve"> de selectiefase generiek door middel van een </w:t>
      </w:r>
      <w:r w:rsidRPr="00F91FE6">
        <w:rPr>
          <w:b/>
          <w:bCs/>
        </w:rPr>
        <w:t>kwalificatiesysteem</w:t>
      </w:r>
      <w:r w:rsidRPr="00891B06">
        <w:t xml:space="preserve">, voor een reeks vergelijkbare opdrachten. Elke onderneming kan </w:t>
      </w:r>
      <w:r w:rsidR="00971DAC">
        <w:t xml:space="preserve">dan </w:t>
      </w:r>
      <w:r w:rsidRPr="00891B06">
        <w:t>op elk moment een kandidatuur indienen, wat een zekere flexibiliteit geeft.</w:t>
      </w:r>
      <w:r>
        <w:t xml:space="preserve"> Waak erover dat er voldoende </w:t>
      </w:r>
      <w:r w:rsidR="00AF7515">
        <w:t xml:space="preserve">publiciteit </w:t>
      </w:r>
      <w:r>
        <w:t xml:space="preserve">bestaat over het kwalificatiesysteem opdat elke potentieel geïnteresseerde de nodige informatie kan terugvinden en een kandidatuur kan indienen. </w:t>
      </w:r>
    </w:p>
    <w:p w14:paraId="2F477090" w14:textId="4A3DB07B" w:rsidR="005D4EB7" w:rsidRDefault="005D4EB7">
      <w:pPr>
        <w:pStyle w:val="Kop1"/>
      </w:pPr>
      <w:bookmarkStart w:id="219" w:name="_Toc132703181"/>
      <w:bookmarkStart w:id="220" w:name="_Toc135840025"/>
      <w:bookmarkStart w:id="221" w:name="_Toc150870630"/>
      <w:r>
        <w:t xml:space="preserve">Principe 13 – </w:t>
      </w:r>
      <w:bookmarkEnd w:id="219"/>
      <w:r w:rsidR="003201B0" w:rsidRPr="003201B0">
        <w:t>Permanent opleiden van aanbesteders en continu informeren van de ondernemingswereld</w:t>
      </w:r>
      <w:bookmarkEnd w:id="220"/>
      <w:bookmarkEnd w:id="221"/>
    </w:p>
    <w:p w14:paraId="2BF25AC6" w14:textId="61C04BB2" w:rsidR="00196987" w:rsidRDefault="00196987">
      <w:pPr>
        <w:pStyle w:val="Kop2"/>
      </w:pPr>
      <w:r>
        <w:t xml:space="preserve"> </w:t>
      </w:r>
      <w:bookmarkStart w:id="222" w:name="_Toc135840026"/>
      <w:bookmarkStart w:id="223" w:name="_Toc150870631"/>
      <w:r>
        <w:t>Doelstelling</w:t>
      </w:r>
      <w:bookmarkEnd w:id="222"/>
      <w:bookmarkEnd w:id="223"/>
    </w:p>
    <w:p w14:paraId="3AB55D23" w14:textId="7A0BC77E" w:rsidR="004A3E28" w:rsidRDefault="004A3E28" w:rsidP="004A3E28">
      <w:r>
        <w:t>Naar aanleiding van de evaluatie en de update van dit charter werden, zoals reeds vermeld, een aantal adviezen opgevraagd, en dat zowel bij de aanbesteders als de ondernemingswereld.</w:t>
      </w:r>
      <w:r w:rsidR="006003ED">
        <w:t xml:space="preserve"> </w:t>
      </w:r>
      <w:r>
        <w:t xml:space="preserve"> </w:t>
      </w:r>
    </w:p>
    <w:p w14:paraId="5AC2D2B7" w14:textId="77777777" w:rsidR="004A3E28" w:rsidRDefault="004A3E28" w:rsidP="004A3E28">
      <w:r>
        <w:t xml:space="preserve">Naast een hele reeks inhoudelijke aanbevelingen over het charter en de regelgeving overheidsopdrachten, kwamen twee andere belangrijke aandachtspunten naar voren: (1) het verzekeren van een voldoende groot aanbod opleidingen overheidsopdrachten naar aanbesteders </w:t>
      </w:r>
      <w:r>
        <w:lastRenderedPageBreak/>
        <w:t>toe en (2) het voldoende informeren en op de hoogte houden van de ondernemingswereld over de materie overheidsopdrachten.</w:t>
      </w:r>
    </w:p>
    <w:p w14:paraId="7F1AAFDC" w14:textId="77777777" w:rsidR="004A3E28" w:rsidRDefault="004A3E28" w:rsidP="004A3E28">
      <w:r>
        <w:t>Op basis van die feedback werd besloten om een nieuwe principe toe te voegen aan het charter, getiteld “permanente opleiding voor aanbesteders en het continu informeren van de ondernemingswereld”.</w:t>
      </w:r>
    </w:p>
    <w:p w14:paraId="3DD99504" w14:textId="77777777" w:rsidR="004A3E28" w:rsidRPr="001B363C" w:rsidRDefault="004A3E28" w:rsidP="004A3E28">
      <w:r w:rsidRPr="001B363C">
        <w:t xml:space="preserve">De dubbele doelstelling van </w:t>
      </w:r>
      <w:r>
        <w:t>dit</w:t>
      </w:r>
      <w:r w:rsidRPr="001B363C">
        <w:t xml:space="preserve"> nieuwe principe kan als volgt worden omschreven: </w:t>
      </w:r>
      <w:bookmarkStart w:id="224" w:name="_Hlk114572448"/>
      <w:r w:rsidRPr="001B363C">
        <w:t xml:space="preserve">het </w:t>
      </w:r>
      <w:r w:rsidRPr="001B363C">
        <w:rPr>
          <w:b/>
          <w:bCs/>
        </w:rPr>
        <w:t>garanderen</w:t>
      </w:r>
      <w:r w:rsidRPr="001B363C">
        <w:t xml:space="preserve"> van</w:t>
      </w:r>
    </w:p>
    <w:p w14:paraId="5F368B4D" w14:textId="6D37F5CD" w:rsidR="004A3E28" w:rsidRPr="001B363C" w:rsidRDefault="004A3E28">
      <w:pPr>
        <w:pStyle w:val="Lijstnummering"/>
        <w:numPr>
          <w:ilvl w:val="0"/>
          <w:numId w:val="20"/>
        </w:numPr>
      </w:pPr>
      <w:bookmarkStart w:id="225" w:name="_Hlk114062739"/>
      <w:r w:rsidRPr="001B363C">
        <w:t>de noodzakelijke kennis bij en vorming van de</w:t>
      </w:r>
      <w:r>
        <w:t xml:space="preserve"> federale</w:t>
      </w:r>
      <w:r w:rsidRPr="001B363C">
        <w:t xml:space="preserve"> aanbesteders over de regelgeving overheidsopdrachten</w:t>
      </w:r>
      <w:r>
        <w:t>;</w:t>
      </w:r>
      <w:r w:rsidRPr="001B363C">
        <w:t xml:space="preserve"> </w:t>
      </w:r>
      <w:r>
        <w:t>namelijk over onder meer de</w:t>
      </w:r>
      <w:r w:rsidRPr="001B363C">
        <w:t xml:space="preserve"> wijzigingen</w:t>
      </w:r>
      <w:r>
        <w:t xml:space="preserve"> aan die regelgeving</w:t>
      </w:r>
      <w:r w:rsidRPr="001B363C">
        <w:t xml:space="preserve">, best practices, </w:t>
      </w:r>
      <w:r>
        <w:t xml:space="preserve">gebruik van </w:t>
      </w:r>
      <w:r w:rsidRPr="001B363C">
        <w:t>digitale instrumenten en</w:t>
      </w:r>
      <w:r>
        <w:t xml:space="preserve"> inclusief</w:t>
      </w:r>
      <w:r w:rsidRPr="001B363C">
        <w:t xml:space="preserve"> </w:t>
      </w:r>
      <w:r>
        <w:t>specifieke aandacht voor</w:t>
      </w:r>
      <w:r w:rsidRPr="001B363C">
        <w:t xml:space="preserve"> </w:t>
      </w:r>
      <w:r>
        <w:t>dit</w:t>
      </w:r>
      <w:r w:rsidRPr="001B363C">
        <w:t xml:space="preserve"> charter </w:t>
      </w:r>
      <w:r>
        <w:t>en haar principes en dus de invalshoek “kmo</w:t>
      </w:r>
      <w:r w:rsidR="00731839">
        <w:t>-participatie</w:t>
      </w:r>
      <w:r>
        <w:t>”;</w:t>
      </w:r>
    </w:p>
    <w:p w14:paraId="61F77F25" w14:textId="205BA614" w:rsidR="00E72A9D" w:rsidRDefault="004A3E28">
      <w:pPr>
        <w:pStyle w:val="Lijstnummering"/>
        <w:numPr>
          <w:ilvl w:val="0"/>
          <w:numId w:val="20"/>
        </w:numPr>
      </w:pPr>
      <w:r w:rsidRPr="001B363C">
        <w:t>de continue doorstroming van relevante</w:t>
      </w:r>
      <w:r w:rsidR="008C78BF">
        <w:t>, uniforme</w:t>
      </w:r>
      <w:r w:rsidRPr="001B363C">
        <w:t xml:space="preserve"> informatie over overheidsopdrachten in het algemeen en de kmo-participatie</w:t>
      </w:r>
      <w:r>
        <w:t xml:space="preserve"> bij overheidsopdrachten</w:t>
      </w:r>
      <w:r w:rsidRPr="001B363C">
        <w:t xml:space="preserve"> in het bijzonder van enerzijds de federale overheid naar anderzijds de professionele en interprofessionele organisaties</w:t>
      </w:r>
      <w:r>
        <w:t>,</w:t>
      </w:r>
      <w:r w:rsidRPr="001B363C">
        <w:t xml:space="preserve"> en dat via de </w:t>
      </w:r>
      <w:r w:rsidR="00017A43">
        <w:t>creatie</w:t>
      </w:r>
      <w:r w:rsidR="0056334B">
        <w:t xml:space="preserve"> van een informeel, </w:t>
      </w:r>
      <w:r w:rsidR="00046705">
        <w:t xml:space="preserve">open netwerk inzake </w:t>
      </w:r>
      <w:r w:rsidR="005D5703">
        <w:t xml:space="preserve">de </w:t>
      </w:r>
      <w:r w:rsidR="00046705">
        <w:t>“communicatie over overheidsopdrachten</w:t>
      </w:r>
      <w:r w:rsidR="00C109AE">
        <w:t xml:space="preserve"> naar de </w:t>
      </w:r>
      <w:r w:rsidR="003E31D9">
        <w:t>bedrijfswereld toe”</w:t>
      </w:r>
      <w:r w:rsidR="00D00614">
        <w:t xml:space="preserve">. </w:t>
      </w:r>
      <w:r w:rsidR="006E5FE3">
        <w:t xml:space="preserve">Daarbij aansluitend wordt gevraagd dat de FOD BOSA, de FOD Economie en de </w:t>
      </w:r>
      <w:r w:rsidRPr="001B363C">
        <w:t>H</w:t>
      </w:r>
      <w:r>
        <w:t>oge Raad voor de Zelfstandigen en de KMO (HRZKMO)</w:t>
      </w:r>
      <w:r w:rsidRPr="001B363C">
        <w:t xml:space="preserve"> als </w:t>
      </w:r>
      <w:r w:rsidR="004A54C9">
        <w:t>trekkers van dat netwerk fungeren</w:t>
      </w:r>
      <w:r w:rsidRPr="001B363C">
        <w:t xml:space="preserve">. </w:t>
      </w:r>
      <w:bookmarkEnd w:id="224"/>
      <w:bookmarkEnd w:id="225"/>
    </w:p>
    <w:p w14:paraId="5B921E01" w14:textId="77777777" w:rsidR="00196987" w:rsidRDefault="00196987">
      <w:pPr>
        <w:pStyle w:val="Kop2"/>
      </w:pPr>
      <w:r>
        <w:t xml:space="preserve"> </w:t>
      </w:r>
      <w:bookmarkStart w:id="226" w:name="_Toc135840027"/>
      <w:bookmarkStart w:id="227" w:name="_Toc150870632"/>
      <w:r>
        <w:t>Toelichting</w:t>
      </w:r>
      <w:bookmarkEnd w:id="226"/>
      <w:bookmarkEnd w:id="227"/>
    </w:p>
    <w:p w14:paraId="716E8473" w14:textId="2D330A88" w:rsidR="006D0C8B" w:rsidRPr="00893DFE" w:rsidRDefault="006D0C8B" w:rsidP="006D0C8B">
      <w:pPr>
        <w:pStyle w:val="Kop3"/>
      </w:pPr>
      <w:r>
        <w:t xml:space="preserve"> </w:t>
      </w:r>
      <w:bookmarkStart w:id="228" w:name="_Toc135840028"/>
      <w:bookmarkStart w:id="229" w:name="_Toc150870633"/>
      <w:r>
        <w:t>Permanente opleiding van aanbesteders</w:t>
      </w:r>
      <w:bookmarkEnd w:id="228"/>
      <w:bookmarkEnd w:id="229"/>
      <w:r>
        <w:t xml:space="preserve"> </w:t>
      </w:r>
    </w:p>
    <w:p w14:paraId="0052F3F8" w14:textId="31499620" w:rsidR="00E82F27" w:rsidRPr="00577D7A" w:rsidRDefault="00E82F27" w:rsidP="00E82F27">
      <w:r>
        <w:t xml:space="preserve">Om het luik “opleiden van aanbesteders” naar de praktijk om te zetten, heeft de federale regering </w:t>
      </w:r>
      <w:r w:rsidRPr="00577D7A">
        <w:t xml:space="preserve">besloten om </w:t>
      </w:r>
      <w:r w:rsidRPr="00577D7A">
        <w:rPr>
          <w:b/>
          <w:bCs/>
        </w:rPr>
        <w:t>een engagement aan te gaan wat het opleiden van federale aanbesteders betreft</w:t>
      </w:r>
      <w:r w:rsidRPr="00577D7A">
        <w:t>. Dat engagement vertaalt zich in de introductie van een verplichting voor federale aanbesteders tot een vorm van permanente vorming over enerzijds overheidsopdrachten in het algemeen en anderzijds het charter “toegang van kmo’s tot overheidsopdrachten”.</w:t>
      </w:r>
    </w:p>
    <w:p w14:paraId="096620E7" w14:textId="77777777" w:rsidR="00E82F27" w:rsidRPr="00577D7A" w:rsidRDefault="00E82F27" w:rsidP="00E82F27">
      <w:r w:rsidRPr="00577D7A">
        <w:t>Het komt de FOD BOSA toe om de nodige opleidingen en opvolging uit te werken. Daarvoor wordt gewerkt op meerdere sporen:</w:t>
      </w:r>
    </w:p>
    <w:p w14:paraId="2E08ED0D" w14:textId="71169369" w:rsidR="00E82F27" w:rsidRPr="00577D7A" w:rsidRDefault="003B6C02">
      <w:pPr>
        <w:pStyle w:val="Lijstnummering"/>
        <w:numPr>
          <w:ilvl w:val="0"/>
          <w:numId w:val="21"/>
        </w:numPr>
      </w:pPr>
      <w:r>
        <w:t>e</w:t>
      </w:r>
      <w:r w:rsidR="00E82F27" w:rsidRPr="00577D7A">
        <w:t xml:space="preserve">erst en vooral worden de nodige opleidingstrajecten ontwikkeld bij de FOD BOSA. Het gaat dan om een reeks van opleidingen die samen een traject vormen in plaats van losse modules. Die laatste blijven eveneens beschikbaar. </w:t>
      </w:r>
      <w:r w:rsidR="000F2552">
        <w:t>Onder meer e</w:t>
      </w:r>
      <w:r w:rsidR="00E82F27" w:rsidRPr="00577D7A">
        <w:t>en “basistraject voor federale aankopers” werd reeds gelanceerd. Andere trajecten en soortgelijke initiatieven zijn in ontwikkeling</w:t>
      </w:r>
      <w:r>
        <w:t>;</w:t>
      </w:r>
    </w:p>
    <w:p w14:paraId="277AD73E" w14:textId="503BAEDF" w:rsidR="00E82F27" w:rsidRPr="00577D7A" w:rsidRDefault="003B6C02">
      <w:pPr>
        <w:pStyle w:val="Lijstnummering"/>
        <w:numPr>
          <w:ilvl w:val="0"/>
          <w:numId w:val="21"/>
        </w:numPr>
      </w:pPr>
      <w:r>
        <w:t>d</w:t>
      </w:r>
      <w:r w:rsidR="00E82F27" w:rsidRPr="00577D7A">
        <w:t>aarbij aansluitend zal de FOD BOSA voldoende aandacht voorzien voor de principes aanwezig in dit charter en de invalshoek “kmo</w:t>
      </w:r>
      <w:r w:rsidR="00561EBF">
        <w:t>-participatie</w:t>
      </w:r>
      <w:r w:rsidR="00E82F27" w:rsidRPr="00577D7A">
        <w:t>”. Die aandacht kan zowel de vorm aannemen van een specifieke module of opleiding, als via het transversaal integreren van het aspect “kmo</w:t>
      </w:r>
      <w:r w:rsidR="00561EBF">
        <w:t>-participatie</w:t>
      </w:r>
      <w:r w:rsidR="00E82F27" w:rsidRPr="00577D7A">
        <w:t>” in een traject</w:t>
      </w:r>
      <w:r>
        <w:t>;</w:t>
      </w:r>
    </w:p>
    <w:p w14:paraId="2EA033B6" w14:textId="1FAFD035" w:rsidR="00E82F27" w:rsidRPr="00577D7A" w:rsidRDefault="003B6C02">
      <w:pPr>
        <w:pStyle w:val="Lijstnummering"/>
        <w:numPr>
          <w:ilvl w:val="0"/>
          <w:numId w:val="21"/>
        </w:numPr>
      </w:pPr>
      <w:r>
        <w:t>n</w:t>
      </w:r>
      <w:r w:rsidR="00E82F27" w:rsidRPr="00577D7A">
        <w:t>a verloop van tijd zal een minimumaantal of minimumpercentage personen werkzaam bij een federale aanbestedende dienst moeten beschikken over een certificaat dat aantoont dat zij een opleiding gevolgd hebben over (onder meer) de toegang van kmo’s bij overheidsopdrachten. Dat certificaat zal van bepaalde duur zijn. Het komt de FOD BOSA toe om meer gedetailleerde praktische modaliteiten uit te werken en daarover te communiceren naar de federale aanbesteders. Via een overgangsfase zullen de federale aanbesteders voldoende tijd krijgen om het gevraagde certificaat te behalen</w:t>
      </w:r>
      <w:r>
        <w:t>;</w:t>
      </w:r>
    </w:p>
    <w:p w14:paraId="52ECA891" w14:textId="73993F0A" w:rsidR="00E82F27" w:rsidRDefault="003B6C02">
      <w:pPr>
        <w:pStyle w:val="Lijstnummering"/>
        <w:numPr>
          <w:ilvl w:val="0"/>
          <w:numId w:val="21"/>
        </w:numPr>
      </w:pPr>
      <w:r>
        <w:t>d</w:t>
      </w:r>
      <w:r w:rsidR="00E82F27" w:rsidRPr="00376F2F">
        <w:t>e FOD BOSA zal het behalen van dat certificaat opvolgen en op regelmatige basis daarover rapporteren.</w:t>
      </w:r>
      <w:r w:rsidR="00E82F27">
        <w:t xml:space="preserve"> Daarbij wordt gefocust op het aantal certificaten, nieuw en totaal, bij de federale aanbestedende diensten en niet op de individuele </w:t>
      </w:r>
      <w:r w:rsidR="00F918A3">
        <w:t>aanbesteder</w:t>
      </w:r>
      <w:r>
        <w:t>.</w:t>
      </w:r>
      <w:r w:rsidR="00E82F27">
        <w:t xml:space="preserve">  </w:t>
      </w:r>
    </w:p>
    <w:p w14:paraId="5C0BA3E5" w14:textId="77777777" w:rsidR="00E82F27" w:rsidRDefault="00E82F27" w:rsidP="00E82F27">
      <w:r>
        <w:t>Voor meer informatie over het volgen van opleidingen op het federale niveau over overheidsopdrachten:</w:t>
      </w:r>
    </w:p>
    <w:p w14:paraId="459B68D9" w14:textId="597B111E" w:rsidR="00E82F27" w:rsidRPr="00BE071C" w:rsidRDefault="00000000" w:rsidP="00E82F27">
      <w:pPr>
        <w:pStyle w:val="Bullet1"/>
        <w:rPr>
          <w:lang w:val="nl-BE"/>
        </w:rPr>
      </w:pPr>
      <w:hyperlink r:id="rId105" w:history="1">
        <w:r w:rsidR="000E5C87" w:rsidRPr="005D2975">
          <w:rPr>
            <w:rStyle w:val="Hyperlink"/>
            <w:lang w:val="nl-BE"/>
          </w:rPr>
          <w:t>https://bosa.belgium.be/nl/themas/overheids-opdrachten/opleidingen/de-verschillende-types-opleidingen</w:t>
        </w:r>
      </w:hyperlink>
      <w:r w:rsidR="000E5C87">
        <w:rPr>
          <w:lang w:val="nl-BE"/>
        </w:rPr>
        <w:t xml:space="preserve"> </w:t>
      </w:r>
      <w:r w:rsidR="00E82F27" w:rsidRPr="00BE071C">
        <w:rPr>
          <w:lang w:val="nl-BE"/>
        </w:rPr>
        <w:t>voor informatie over zowel opleidingen over het regelgevend</w:t>
      </w:r>
      <w:r w:rsidR="00E45DF6">
        <w:rPr>
          <w:lang w:val="nl-BE"/>
        </w:rPr>
        <w:t>e</w:t>
      </w:r>
      <w:r w:rsidR="00E82F27" w:rsidRPr="00BE071C">
        <w:rPr>
          <w:lang w:val="nl-BE"/>
        </w:rPr>
        <w:t xml:space="preserve"> kader als over het gebruik van e-Procurement;</w:t>
      </w:r>
    </w:p>
    <w:p w14:paraId="761232CE" w14:textId="77777777" w:rsidR="00E82F27" w:rsidRPr="00BE071C" w:rsidRDefault="00000000" w:rsidP="00E82F27">
      <w:pPr>
        <w:pStyle w:val="Bullet1"/>
        <w:rPr>
          <w:lang w:val="nl-BE"/>
        </w:rPr>
      </w:pPr>
      <w:hyperlink r:id="rId106" w:history="1">
        <w:r w:rsidR="00E82F27" w:rsidRPr="00BE071C">
          <w:rPr>
            <w:rStyle w:val="Hyperlink"/>
            <w:lang w:val="nl-BE"/>
          </w:rPr>
          <w:t>https://bosa.belgium.be/nl/themas/overheids-opdrachten/opleidingen/geaccrediteerde-opleiders-opleidingsorganisaties-en</w:t>
        </w:r>
      </w:hyperlink>
      <w:r w:rsidR="00E82F27" w:rsidRPr="00BE071C">
        <w:rPr>
          <w:lang w:val="nl-BE"/>
        </w:rPr>
        <w:t xml:space="preserve"> voor meer informatie over personen en organisaties die door de FOD BOSA geaccrediteerd zijn om opleidingen (meestal betalend) te geven.</w:t>
      </w:r>
    </w:p>
    <w:p w14:paraId="6F9C26E4" w14:textId="29AB7238" w:rsidR="00612979" w:rsidRDefault="00612979" w:rsidP="00612979">
      <w:pPr>
        <w:pStyle w:val="Kop3"/>
      </w:pPr>
      <w:r>
        <w:t xml:space="preserve"> </w:t>
      </w:r>
      <w:bookmarkStart w:id="230" w:name="_Toc135840029"/>
      <w:bookmarkStart w:id="231" w:name="_Toc150870634"/>
      <w:r>
        <w:t>Continu informeren van de ondernemingswereld</w:t>
      </w:r>
      <w:bookmarkEnd w:id="230"/>
      <w:bookmarkEnd w:id="231"/>
      <w:r>
        <w:t xml:space="preserve"> </w:t>
      </w:r>
    </w:p>
    <w:p w14:paraId="548CDAD5" w14:textId="77777777" w:rsidR="00612979" w:rsidRDefault="00612979" w:rsidP="00612979">
      <w:r>
        <w:t xml:space="preserve">Ook voor het luik “informeren van de ondernemingen” heeft de federale regering besloten om </w:t>
      </w:r>
      <w:r w:rsidRPr="00557C21">
        <w:rPr>
          <w:b/>
          <w:bCs/>
        </w:rPr>
        <w:t>een engagement aan te gaan, met name tot het opzetten van een structureel, hybride informatie- en communicatiekanaal</w:t>
      </w:r>
      <w:r w:rsidRPr="004A3C02">
        <w:t xml:space="preserve"> over het onderwerp “overheidsopdrachten” in al haar facetten, inclusief een focus op het aspect “kmo-participatie”</w:t>
      </w:r>
      <w:r>
        <w:t xml:space="preserve">. </w:t>
      </w:r>
    </w:p>
    <w:p w14:paraId="157186FB" w14:textId="1AB81525" w:rsidR="0021481D" w:rsidRDefault="00612979" w:rsidP="00612979">
      <w:r>
        <w:t xml:space="preserve">Daarbij zal </w:t>
      </w:r>
      <w:r w:rsidR="003A074B">
        <w:t xml:space="preserve">onder meer gefocust worden op de </w:t>
      </w:r>
      <w:r w:rsidR="003A074B" w:rsidRPr="003A074B">
        <w:t>creatie van een informeel, open netwerk inzake</w:t>
      </w:r>
      <w:r w:rsidR="00920496">
        <w:t xml:space="preserve"> de</w:t>
      </w:r>
      <w:r w:rsidR="003A074B" w:rsidRPr="003A074B">
        <w:t xml:space="preserve"> “communicatie over overheidsopdrachten naar de bedrijfswereld toe” </w:t>
      </w:r>
      <w:r w:rsidR="00EA70C9">
        <w:t>waarbij</w:t>
      </w:r>
      <w:r w:rsidR="003A074B" w:rsidRPr="003A074B">
        <w:t xml:space="preserve"> </w:t>
      </w:r>
      <w:r w:rsidR="00EA70C9">
        <w:t>de</w:t>
      </w:r>
      <w:r w:rsidR="003A074B" w:rsidRPr="003A074B">
        <w:t xml:space="preserve"> FOD BOSA, de FOD Economie en de HRZKMO als trekkers van dat netwerk fungeren</w:t>
      </w:r>
      <w:r w:rsidR="00EA70C9">
        <w:t>. V</w:t>
      </w:r>
      <w:r>
        <w:t xml:space="preserve">ia </w:t>
      </w:r>
      <w:r w:rsidR="00947F9C">
        <w:t xml:space="preserve">een samenwerking met </w:t>
      </w:r>
      <w:r>
        <w:t xml:space="preserve">de Hoge Raad </w:t>
      </w:r>
      <w:r w:rsidR="00EA70C9">
        <w:t>is het</w:t>
      </w:r>
      <w:r w:rsidR="00363F1D">
        <w:t xml:space="preserve"> onder andere</w:t>
      </w:r>
      <w:r w:rsidR="00EA70C9">
        <w:t xml:space="preserve"> de bedoeling om </w:t>
      </w:r>
      <w:r>
        <w:t xml:space="preserve">te garanderen dat de professionele en interprofessionele organisaties over de nodige informatie beschikken zodat zij op hun beurt de ondernemingen op gepaste wijze kunnen informeren. </w:t>
      </w:r>
      <w:r w:rsidR="00045069">
        <w:t>Over de taken van het netwerk kan onder meer het volgend</w:t>
      </w:r>
      <w:r w:rsidR="00540CD8">
        <w:t>e vooropgesteld worden:</w:t>
      </w:r>
    </w:p>
    <w:p w14:paraId="6CA71A8A" w14:textId="0B70001A" w:rsidR="00540CD8" w:rsidRDefault="007E5FBE" w:rsidP="00540CD8">
      <w:pPr>
        <w:pStyle w:val="Bullet1"/>
        <w:rPr>
          <w:lang w:val="nl-BE"/>
        </w:rPr>
      </w:pPr>
      <w:r>
        <w:rPr>
          <w:lang w:val="nl-BE"/>
        </w:rPr>
        <w:t>u</w:t>
      </w:r>
      <w:r w:rsidR="00F62E58" w:rsidRPr="00BE23E3">
        <w:rPr>
          <w:lang w:val="nl-BE"/>
        </w:rPr>
        <w:t>itwisselen van best practices over het com</w:t>
      </w:r>
      <w:r w:rsidR="00F62E58">
        <w:rPr>
          <w:lang w:val="nl-BE"/>
        </w:rPr>
        <w:t xml:space="preserve">municeren over overheidsopdrachten naar de bedrijfswereld toe (stijl </w:t>
      </w:r>
      <w:r w:rsidR="00553E86">
        <w:rPr>
          <w:lang w:val="nl-BE"/>
        </w:rPr>
        <w:t xml:space="preserve">van de </w:t>
      </w:r>
      <w:r w:rsidR="00F62E58">
        <w:rPr>
          <w:lang w:val="nl-BE"/>
        </w:rPr>
        <w:t>communicatie, woordenschat, kanalen</w:t>
      </w:r>
      <w:r w:rsidR="00EE22C3">
        <w:rPr>
          <w:lang w:val="nl-BE"/>
        </w:rPr>
        <w:t>, timing</w:t>
      </w:r>
      <w:r w:rsidR="00F62E58">
        <w:rPr>
          <w:lang w:val="nl-BE"/>
        </w:rPr>
        <w:t>…)</w:t>
      </w:r>
      <w:r>
        <w:rPr>
          <w:lang w:val="nl-BE"/>
        </w:rPr>
        <w:t>;</w:t>
      </w:r>
    </w:p>
    <w:p w14:paraId="28781A42" w14:textId="3A76C5CA" w:rsidR="007E5FBE" w:rsidRDefault="00CE1997" w:rsidP="00540CD8">
      <w:pPr>
        <w:pStyle w:val="Bullet1"/>
        <w:rPr>
          <w:lang w:val="nl-BE"/>
        </w:rPr>
      </w:pPr>
      <w:r>
        <w:rPr>
          <w:lang w:val="nl-BE"/>
        </w:rPr>
        <w:t>informatie over toekomstige communicatiecampagnes</w:t>
      </w:r>
      <w:r w:rsidR="0043009C">
        <w:rPr>
          <w:lang w:val="nl-BE"/>
        </w:rPr>
        <w:t xml:space="preserve"> uitwisselen en die waar mogelijk</w:t>
      </w:r>
      <w:r w:rsidR="00AE23F7">
        <w:rPr>
          <w:lang w:val="nl-BE"/>
        </w:rPr>
        <w:t xml:space="preserve"> op elkaar afstemmen</w:t>
      </w:r>
      <w:r w:rsidR="002F710C">
        <w:rPr>
          <w:lang w:val="nl-BE"/>
        </w:rPr>
        <w:t>;</w:t>
      </w:r>
    </w:p>
    <w:p w14:paraId="00719259" w14:textId="29059767" w:rsidR="00EC4F1B" w:rsidRDefault="00EC4F1B" w:rsidP="00540CD8">
      <w:pPr>
        <w:pStyle w:val="Bullet1"/>
        <w:rPr>
          <w:lang w:val="nl-BE"/>
        </w:rPr>
      </w:pPr>
      <w:r>
        <w:rPr>
          <w:lang w:val="nl-BE"/>
        </w:rPr>
        <w:t>opstellen van een jaarlijks verslag aan de Commissie voor de Overheidsopdrachten over de best practices en vastgestelde problemen;</w:t>
      </w:r>
    </w:p>
    <w:p w14:paraId="731FEFB5" w14:textId="36DEF69B" w:rsidR="00EC4F1B" w:rsidRDefault="00EC4F1B" w:rsidP="00540CD8">
      <w:pPr>
        <w:pStyle w:val="Bullet1"/>
        <w:rPr>
          <w:lang w:val="nl-BE"/>
        </w:rPr>
      </w:pPr>
      <w:r>
        <w:rPr>
          <w:lang w:val="nl-BE"/>
        </w:rPr>
        <w:t>…</w:t>
      </w:r>
    </w:p>
    <w:p w14:paraId="6891EA2B" w14:textId="31391B59" w:rsidR="00C3315E" w:rsidRDefault="00DC345B" w:rsidP="00EC4F1B">
      <w:r>
        <w:t xml:space="preserve">Het betreft </w:t>
      </w:r>
      <w:r w:rsidR="001E391D">
        <w:t xml:space="preserve">dus </w:t>
      </w:r>
      <w:r>
        <w:t xml:space="preserve">een open netwerk: andere overheidsniveaus dan het federale zullen eveneens uitgenodigd worden. </w:t>
      </w:r>
      <w:r w:rsidR="00C3315E">
        <w:t xml:space="preserve">Wat de federale aanbesteders betreft wordt participatie aan het netwerk als een best practice beschouwd. </w:t>
      </w:r>
    </w:p>
    <w:p w14:paraId="252B17B4" w14:textId="021BB906" w:rsidR="00EC4F1B" w:rsidRPr="00EC4F1B" w:rsidRDefault="00EC4F1B" w:rsidP="00EC4F1B">
      <w:r w:rsidRPr="00EC4F1B">
        <w:t xml:space="preserve">De bedoeling van </w:t>
      </w:r>
      <w:r>
        <w:t>het netwerk</w:t>
      </w:r>
      <w:r w:rsidRPr="00EC4F1B">
        <w:t xml:space="preserve"> </w:t>
      </w:r>
      <w:r w:rsidR="003744C4">
        <w:t>zal</w:t>
      </w:r>
      <w:r w:rsidRPr="00EC4F1B">
        <w:t xml:space="preserve"> zijn om in de mate van het mogelijke de timing en de vorm van de communicatie over overheidsopdrachten </w:t>
      </w:r>
      <w:r w:rsidR="000E4071">
        <w:t>informeel</w:t>
      </w:r>
      <w:r w:rsidRPr="00EC4F1B">
        <w:t xml:space="preserve"> te coördineren en om dubbel werk en inhoudelijke tegenstrijdigheden te voorkomen. Met andere woorden wordt gepoogd om een kader te scheppen waarbinnen elke </w:t>
      </w:r>
      <w:r w:rsidR="00CF50F3">
        <w:t xml:space="preserve">dienst of </w:t>
      </w:r>
      <w:r w:rsidRPr="00EC4F1B">
        <w:t xml:space="preserve">overheid communiceert, maar waarbij die communicatie toch afgestemd </w:t>
      </w:r>
      <w:r w:rsidR="007E30A8">
        <w:t>wordt</w:t>
      </w:r>
      <w:r w:rsidRPr="00EC4F1B">
        <w:t xml:space="preserve"> op wat de andere </w:t>
      </w:r>
      <w:r w:rsidR="00FE6792">
        <w:t xml:space="preserve">diensten of </w:t>
      </w:r>
      <w:r w:rsidRPr="00EC4F1B">
        <w:t>niveaus doen</w:t>
      </w:r>
      <w:r w:rsidR="00BE23E3">
        <w:t xml:space="preserve">. </w:t>
      </w:r>
    </w:p>
    <w:p w14:paraId="3AB40DB2" w14:textId="361C4566" w:rsidR="00612979" w:rsidRDefault="00612979" w:rsidP="00612979">
      <w:r>
        <w:t xml:space="preserve">Het komt de FOD BOSA, de FOD Economie en de HRZKMO toe om de meer gedetailleerde aspecten </w:t>
      </w:r>
      <w:r w:rsidR="00670138">
        <w:t>uit te werken</w:t>
      </w:r>
      <w:r w:rsidR="00AF4239">
        <w:t xml:space="preserve"> en om de nodige initiatieven te nemen</w:t>
      </w:r>
      <w:r>
        <w:t xml:space="preserve">. </w:t>
      </w:r>
    </w:p>
    <w:p w14:paraId="0FF2170B" w14:textId="14ADD090" w:rsidR="00612979" w:rsidRDefault="00612979" w:rsidP="00612979">
      <w:r>
        <w:t xml:space="preserve">Daarnaast worden nog een aantal meer gedetailleerde engagementen aangegaan door de federale regering die, samen met de </w:t>
      </w:r>
      <w:r w:rsidR="002D69EE">
        <w:t>creatie van het open netwerk</w:t>
      </w:r>
      <w:r>
        <w:t>, dit luik vorm moeten geven. Het gaat om:</w:t>
      </w:r>
    </w:p>
    <w:p w14:paraId="556ACC86" w14:textId="6B595E4F" w:rsidR="00612979" w:rsidRPr="002C36C7" w:rsidRDefault="00612979">
      <w:pPr>
        <w:pStyle w:val="Lijstnummering"/>
        <w:numPr>
          <w:ilvl w:val="0"/>
          <w:numId w:val="22"/>
        </w:numPr>
      </w:pPr>
      <w:r>
        <w:t xml:space="preserve">de organisatie van </w:t>
      </w:r>
      <w:r w:rsidRPr="002C36C7">
        <w:t xml:space="preserve">een jaarlijks of tweejaarlijks evenement over overheidsopdrachten, op initiatief van de federale overheid, </w:t>
      </w:r>
      <w:r>
        <w:t>inclusief</w:t>
      </w:r>
      <w:r w:rsidRPr="002C36C7">
        <w:t xml:space="preserve"> specifieke aandacht voor de toegang van kmo’s</w:t>
      </w:r>
      <w:r>
        <w:t>. Tijdens dat evenement wordt</w:t>
      </w:r>
      <w:r w:rsidRPr="002C36C7">
        <w:t xml:space="preserve"> een stand van zaken gegeven </w:t>
      </w:r>
      <w:r>
        <w:t>over</w:t>
      </w:r>
      <w:r w:rsidRPr="002C36C7">
        <w:t xml:space="preserve"> onder meer de kmo-participatie, werkzaamheden</w:t>
      </w:r>
      <w:r>
        <w:t xml:space="preserve"> van de voorbije periode</w:t>
      </w:r>
      <w:r w:rsidRPr="002C36C7">
        <w:t xml:space="preserve"> (b</w:t>
      </w:r>
      <w:r>
        <w:t>ijvoorbeeld</w:t>
      </w:r>
      <w:r w:rsidRPr="002C36C7">
        <w:t xml:space="preserve"> wijzigingen aan de wetgeving) en </w:t>
      </w:r>
      <w:r>
        <w:t>een update over</w:t>
      </w:r>
      <w:r w:rsidRPr="002C36C7">
        <w:t xml:space="preserve"> hetgeen dat lopende en komende is</w:t>
      </w:r>
      <w:r>
        <w:t xml:space="preserve"> voor </w:t>
      </w:r>
      <w:r w:rsidR="00413BE0">
        <w:t xml:space="preserve">(het beleid rond) </w:t>
      </w:r>
      <w:r>
        <w:t>overheidsopdrachten;</w:t>
      </w:r>
    </w:p>
    <w:p w14:paraId="7D350E1D" w14:textId="5A42BBDB" w:rsidR="00612979" w:rsidRDefault="00612979">
      <w:pPr>
        <w:pStyle w:val="Lijstnummering"/>
        <w:numPr>
          <w:ilvl w:val="0"/>
          <w:numId w:val="22"/>
        </w:numPr>
      </w:pPr>
      <w:r w:rsidRPr="002C36C7">
        <w:t xml:space="preserve">het structureel opzetten van minstens één jaarlijks netwerkmoment tussen de </w:t>
      </w:r>
      <w:r>
        <w:t>diverse federale entiteiten (aanbesteders) enerzijds,</w:t>
      </w:r>
      <w:r w:rsidR="00E37DC1">
        <w:t xml:space="preserve"> waaronder</w:t>
      </w:r>
      <w:r>
        <w:t xml:space="preserve"> onder meer de Federale Overheidsdiensten (FOD’s),</w:t>
      </w:r>
      <w:r w:rsidRPr="002C36C7">
        <w:t xml:space="preserve"> en de ondernemingswereld anderzijds</w:t>
      </w:r>
      <w:r>
        <w:t>,</w:t>
      </w:r>
      <w:r w:rsidRPr="002C36C7">
        <w:t xml:space="preserve"> waarbij de </w:t>
      </w:r>
      <w:r>
        <w:t>federale entiteiten</w:t>
      </w:r>
      <w:r w:rsidRPr="002C36C7">
        <w:t xml:space="preserve"> zichzelf en hun toekomstige opdrachten (en manier van werken) komen toelichten;</w:t>
      </w:r>
    </w:p>
    <w:p w14:paraId="776B5BC7" w14:textId="77777777" w:rsidR="00612979" w:rsidRPr="002C36C7" w:rsidRDefault="00612979" w:rsidP="006D0C8B">
      <w:r>
        <w:t xml:space="preserve">Beide momenten worden in samenwerking met de relevante partnerorganisaties georganiseerd. </w:t>
      </w:r>
    </w:p>
    <w:p w14:paraId="6CACDB33" w14:textId="77777777" w:rsidR="00612979" w:rsidRPr="002C36C7" w:rsidRDefault="00612979">
      <w:pPr>
        <w:pStyle w:val="Lijstnummering"/>
      </w:pPr>
      <w:r w:rsidRPr="002C36C7">
        <w:t>het verderzetten van de bestaande nieuwsbrief over overheidsopdrachten van de FOD BOSA</w:t>
      </w:r>
      <w:r>
        <w:t>,</w:t>
      </w:r>
      <w:r w:rsidRPr="002C36C7">
        <w:t xml:space="preserve"> waarbij</w:t>
      </w:r>
      <w:r>
        <w:t xml:space="preserve"> afgestemd zal worden met de ondernemingswereld over de inhoud van die nieuwsbrief</w:t>
      </w:r>
      <w:r w:rsidRPr="002C36C7">
        <w:t>;</w:t>
      </w:r>
    </w:p>
    <w:p w14:paraId="3E6221BF" w14:textId="16B2210B" w:rsidR="00612979" w:rsidRDefault="00612979">
      <w:pPr>
        <w:pStyle w:val="Lijstnummering"/>
      </w:pPr>
      <w:r w:rsidRPr="002C36C7">
        <w:t>het (sterker) promoten van hetgeen de FOD BOSA vandaag reeds doet (bijvoorbeeld de bestaande handleidingen e-</w:t>
      </w:r>
      <w:r>
        <w:t>P</w:t>
      </w:r>
      <w:r w:rsidRPr="002C36C7">
        <w:t xml:space="preserve">rocurement, </w:t>
      </w:r>
      <w:r>
        <w:t xml:space="preserve">het aanbod opleidingen voor aanbesteders, </w:t>
      </w:r>
      <w:r w:rsidRPr="002C36C7">
        <w:t>de opleidingen voor de intermediaire organisaties, de lijst van gecertificeerde opleiders…)</w:t>
      </w:r>
      <w:r>
        <w:t xml:space="preserve"> zodat </w:t>
      </w:r>
      <w:r>
        <w:lastRenderedPageBreak/>
        <w:t xml:space="preserve">de belanghebbenden in </w:t>
      </w:r>
      <w:r w:rsidR="00170206">
        <w:t xml:space="preserve">ruimere </w:t>
      </w:r>
      <w:r>
        <w:t xml:space="preserve">mate op de hoogte zijn </w:t>
      </w:r>
      <w:r w:rsidR="00170206">
        <w:t xml:space="preserve">van die initiatieven </w:t>
      </w:r>
      <w:r>
        <w:t>dan vandaag het geval is</w:t>
      </w:r>
      <w:r w:rsidRPr="002C36C7">
        <w:t>.</w:t>
      </w:r>
      <w:r>
        <w:t xml:space="preserve"> </w:t>
      </w:r>
    </w:p>
    <w:p w14:paraId="7710992C" w14:textId="77777777" w:rsidR="00AA2514" w:rsidRDefault="00612979" w:rsidP="00612979">
      <w:r>
        <w:t xml:space="preserve">Inhoudelijk gezien handelt dit luik communicatie over zowel de wetgeving als best practices en het gebruik van digitale instrumenten zoals e-Procurement. </w:t>
      </w:r>
    </w:p>
    <w:p w14:paraId="04ECFF74" w14:textId="624B1FD2" w:rsidR="00015B6F" w:rsidRPr="000E5C87" w:rsidRDefault="00612979" w:rsidP="00612979">
      <w:r>
        <w:t xml:space="preserve">Het komt onder meer de FOD </w:t>
      </w:r>
      <w:r w:rsidRPr="000E5C87">
        <w:t>BOSA, de FOD Economie en de HRZKMO toe om het nodige uit te werken om dit tweede luik van principe 1</w:t>
      </w:r>
      <w:r w:rsidR="001E4D52" w:rsidRPr="000E5C87">
        <w:t>3</w:t>
      </w:r>
      <w:r w:rsidRPr="000E5C87">
        <w:t xml:space="preserve"> naar de praktijk om te zetten.</w:t>
      </w:r>
    </w:p>
    <w:p w14:paraId="060EBAA9" w14:textId="77777777" w:rsidR="00196987" w:rsidRPr="009069A3" w:rsidRDefault="00196987">
      <w:pPr>
        <w:pStyle w:val="Kop2"/>
      </w:pPr>
      <w:r w:rsidRPr="000E5C87">
        <w:t xml:space="preserve"> </w:t>
      </w:r>
      <w:bookmarkStart w:id="232" w:name="_Toc135840030"/>
      <w:bookmarkStart w:id="233" w:name="_Toc150870635"/>
      <w:r w:rsidRPr="000E5C87">
        <w:t>Richtlijnen en instructies</w:t>
      </w:r>
      <w:bookmarkEnd w:id="232"/>
      <w:bookmarkEnd w:id="233"/>
    </w:p>
    <w:p w14:paraId="1FDEF531" w14:textId="77777777" w:rsidR="0059235B" w:rsidRDefault="00C14628">
      <w:pPr>
        <w:pStyle w:val="Lijstnummering"/>
        <w:numPr>
          <w:ilvl w:val="0"/>
          <w:numId w:val="23"/>
        </w:numPr>
        <w:pBdr>
          <w:top w:val="single" w:sz="4" w:space="1" w:color="auto"/>
          <w:left w:val="single" w:sz="4" w:space="4" w:color="auto"/>
          <w:bottom w:val="single" w:sz="4" w:space="1" w:color="auto"/>
          <w:right w:val="single" w:sz="4" w:space="4" w:color="auto"/>
        </w:pBdr>
        <w:shd w:val="clear" w:color="auto" w:fill="FBE4D5" w:themeFill="accent2" w:themeFillTint="33"/>
      </w:pPr>
      <w:r>
        <w:t>Waak erover dat na verloop van tijd voldoende aankopers in de dienst de nodige opleidingen over overheidsopdrachten gevolgd hebben en meer specifiek het certificaat over de toegang van kmo’s tot overheidsopdrachten behaald hebben.</w:t>
      </w:r>
    </w:p>
    <w:p w14:paraId="7376BC7C" w14:textId="77777777" w:rsidR="006953E7" w:rsidRDefault="0059235B">
      <w:pPr>
        <w:pStyle w:val="Lijstnummering"/>
        <w:numPr>
          <w:ilvl w:val="0"/>
          <w:numId w:val="23"/>
        </w:num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Deelname aan het toekomstige netwerk inzake de </w:t>
      </w:r>
      <w:r w:rsidR="001012FF">
        <w:t>“communicatie over overheidsopdrachten naar de bedrijfswereld</w:t>
      </w:r>
      <w:r w:rsidR="00A23AC5">
        <w:t xml:space="preserve"> toe” wordt sterk aanbevolen en als een best practice beschouwd.</w:t>
      </w:r>
    </w:p>
    <w:p w14:paraId="7E051A85" w14:textId="5135B9F0" w:rsidR="00E35B60" w:rsidRDefault="002C6780" w:rsidP="002100A4">
      <w:pPr>
        <w:pStyle w:val="Lijstnummering"/>
        <w:numPr>
          <w:ilvl w:val="0"/>
          <w:numId w:val="23"/>
        </w:numPr>
        <w:pBdr>
          <w:top w:val="single" w:sz="4" w:space="1" w:color="auto"/>
          <w:left w:val="single" w:sz="4" w:space="4" w:color="auto"/>
          <w:bottom w:val="single" w:sz="4" w:space="1" w:color="auto"/>
          <w:right w:val="single" w:sz="4" w:space="4" w:color="auto"/>
        </w:pBdr>
        <w:shd w:val="clear" w:color="auto" w:fill="FBE4D5" w:themeFill="accent2" w:themeFillTint="33"/>
      </w:pPr>
      <w:r w:rsidRPr="002362A0">
        <w:t xml:space="preserve">In geval van een nieuwe gemeenschappelijke overeenkomst in het kader van het koninklijk besluit van 21 juli 2023 inzake het federale aankoopbeleid, </w:t>
      </w:r>
      <w:r w:rsidR="00992EED" w:rsidRPr="002362A0">
        <w:t>promoot</w:t>
      </w:r>
      <w:r w:rsidRPr="002362A0">
        <w:t xml:space="preserve"> </w:t>
      </w:r>
      <w:r w:rsidR="00F87D66" w:rsidRPr="002362A0">
        <w:t xml:space="preserve">het dienstencentrum “Procurement” (FOD BOSA) </w:t>
      </w:r>
      <w:r w:rsidR="00847D2D" w:rsidRPr="002362A0">
        <w:t>het overzicht van de gemeenschappelijke overeenkomsten dat vrij beschikbaar is op de website van de FOD BOSA</w:t>
      </w:r>
      <w:r w:rsidR="00B80276" w:rsidRPr="002362A0">
        <w:t xml:space="preserve"> – zie </w:t>
      </w:r>
      <w:hyperlink r:id="rId107" w:history="1">
        <w:r w:rsidR="00B80276" w:rsidRPr="002362A0">
          <w:rPr>
            <w:rStyle w:val="Hyperlink"/>
          </w:rPr>
          <w:t>https://bosa.belgium.be/nl/themas/overheids-opdrachten/federaal-aankoopbeleid/gemeenschappelijke-overeenkomsten/overzicht</w:t>
        </w:r>
      </w:hyperlink>
      <w:r w:rsidR="00B80276" w:rsidRPr="002362A0">
        <w:t xml:space="preserve">. </w:t>
      </w:r>
      <w:r w:rsidR="008C1615" w:rsidRPr="002362A0">
        <w:t>Daarnaast</w:t>
      </w:r>
      <w:r w:rsidR="00CB4800" w:rsidRPr="002362A0">
        <w:t xml:space="preserve"> maken federale aanbesteders die onder het toepassingsgebied van het voornoemde koninklijke besluit vallen</w:t>
      </w:r>
      <w:r w:rsidR="002D23F6" w:rsidRPr="002362A0">
        <w:t>, in alle andere gevallen</w:t>
      </w:r>
      <w:r w:rsidR="009358E8" w:rsidRPr="002362A0">
        <w:t xml:space="preserve"> </w:t>
      </w:r>
      <w:r w:rsidR="002100A4" w:rsidRPr="002362A0">
        <w:t xml:space="preserve">en waar mogelijk, </w:t>
      </w:r>
      <w:r w:rsidR="009358E8" w:rsidRPr="002362A0">
        <w:t xml:space="preserve">eveneens </w:t>
      </w:r>
      <w:r w:rsidR="002004D2" w:rsidRPr="002362A0">
        <w:t>publiciteit</w:t>
      </w:r>
      <w:r w:rsidR="009358E8" w:rsidRPr="002362A0">
        <w:t xml:space="preserve"> voor het voormelde overzicht. Dat via bijvoorbeeld hun website</w:t>
      </w:r>
      <w:r w:rsidR="0099291C" w:rsidRPr="002362A0">
        <w:t xml:space="preserve">. Dit alles teneinde ondernemingen inzicht te bieden </w:t>
      </w:r>
      <w:r w:rsidR="007C3A7E" w:rsidRPr="002362A0">
        <w:t xml:space="preserve">in de gemeenschappelijke overeenkomsten die lopende zijn </w:t>
      </w:r>
      <w:r w:rsidR="0022279B" w:rsidRPr="002362A0">
        <w:t>en dus de bestaande gemeenschappelijke behoeften van de aanbesteders</w:t>
      </w:r>
      <w:r w:rsidR="007C3A7E" w:rsidRPr="002362A0">
        <w:t>.</w:t>
      </w:r>
      <w:r w:rsidR="007C3A7E">
        <w:t xml:space="preserve"> </w:t>
      </w:r>
    </w:p>
    <w:p w14:paraId="7F311587" w14:textId="2D3B7890" w:rsidR="005D4EB7" w:rsidRDefault="005D4EB7">
      <w:pPr>
        <w:pStyle w:val="Kop1"/>
      </w:pPr>
      <w:bookmarkStart w:id="234" w:name="_Toc132703182"/>
      <w:bookmarkStart w:id="235" w:name="_Toc135840031"/>
      <w:bookmarkStart w:id="236" w:name="_Toc150870636"/>
      <w:r>
        <w:t xml:space="preserve">Principe 14 – </w:t>
      </w:r>
      <w:bookmarkEnd w:id="234"/>
      <w:r w:rsidR="00D968DC" w:rsidRPr="00D968DC">
        <w:t>Structurele en kwaliteitsvolle monitoring van de kmo-participatie bij overheidsopdrachten</w:t>
      </w:r>
      <w:bookmarkEnd w:id="235"/>
      <w:bookmarkEnd w:id="236"/>
    </w:p>
    <w:p w14:paraId="2924DC5C" w14:textId="535EC99B" w:rsidR="00196987" w:rsidRDefault="00196987">
      <w:pPr>
        <w:pStyle w:val="Kop2"/>
      </w:pPr>
      <w:r>
        <w:t xml:space="preserve"> </w:t>
      </w:r>
      <w:bookmarkStart w:id="237" w:name="_Toc135840032"/>
      <w:bookmarkStart w:id="238" w:name="_Toc150870637"/>
      <w:r>
        <w:t>Doelstelling</w:t>
      </w:r>
      <w:bookmarkEnd w:id="237"/>
      <w:bookmarkEnd w:id="238"/>
    </w:p>
    <w:p w14:paraId="4973EF23" w14:textId="16FE971D" w:rsidR="00432456" w:rsidRDefault="00432456" w:rsidP="00196987">
      <w:r>
        <w:t>H</w:t>
      </w:r>
      <w:r w:rsidRPr="008F6AEF">
        <w:t xml:space="preserve">et </w:t>
      </w:r>
      <w:r>
        <w:t>garanderen</w:t>
      </w:r>
      <w:r w:rsidRPr="008F6AEF">
        <w:t xml:space="preserve"> van een </w:t>
      </w:r>
      <w:r>
        <w:t xml:space="preserve">structurele en kwaliteitsvolle monitoring van de toegang van kmo’s tot overheidsopdrachten, waarbij onder meer gefocust wordt op het aspect participatie in de zin van zowel het versturen van offertes als deelname aan de opdracht. En dat aangevuld met andere relevante indicatoren zoals het gebruik van kmo-vriendelijke instrumenten door aanbesteders via de toepassing van de principes vermeld in dit charter. Het grondig monitoren van elk van die aspecten resulteert in een </w:t>
      </w:r>
      <w:r w:rsidR="00892DA0">
        <w:t xml:space="preserve">systematische, </w:t>
      </w:r>
      <w:r>
        <w:t>publieke rapportage – inclusief beleidsaanbevelingen.</w:t>
      </w:r>
    </w:p>
    <w:p w14:paraId="28D7862E" w14:textId="729C97E0" w:rsidR="00196987" w:rsidRDefault="00196987" w:rsidP="00196987">
      <w:pPr>
        <w:pStyle w:val="Kop2"/>
      </w:pPr>
      <w:r>
        <w:t xml:space="preserve"> </w:t>
      </w:r>
      <w:bookmarkStart w:id="239" w:name="_Toc135840033"/>
      <w:bookmarkStart w:id="240" w:name="_Toc150870638"/>
      <w:r>
        <w:t>Toelichting</w:t>
      </w:r>
      <w:bookmarkEnd w:id="239"/>
      <w:bookmarkEnd w:id="240"/>
    </w:p>
    <w:p w14:paraId="4B47D754" w14:textId="7073C22D" w:rsidR="006B1F4C" w:rsidRPr="00D544D6" w:rsidRDefault="006B1F4C" w:rsidP="006B1F4C">
      <w:pPr>
        <w:pStyle w:val="Kop3"/>
      </w:pPr>
      <w:r>
        <w:t xml:space="preserve"> </w:t>
      </w:r>
      <w:bookmarkStart w:id="241" w:name="_Toc135840034"/>
      <w:bookmarkStart w:id="242" w:name="_Toc150870639"/>
      <w:r>
        <w:t>Vastgestelde problemen</w:t>
      </w:r>
      <w:bookmarkEnd w:id="241"/>
      <w:bookmarkEnd w:id="242"/>
    </w:p>
    <w:p w14:paraId="1E1C916D" w14:textId="77777777" w:rsidR="006B1F4C" w:rsidRDefault="006B1F4C" w:rsidP="006B1F4C">
      <w:r>
        <w:t xml:space="preserve">De afgelopen jaren hebben diverse federale overheidsdiensten de situatie inzake het monitoren van (de kmo-participatie bij) overheidsopdrachten grondig bestudeerd en de federale regering van de nodige aanbevelingen voorzien om de vastgestelde problemen te verhelpen. </w:t>
      </w:r>
    </w:p>
    <w:p w14:paraId="4903D7A4" w14:textId="77777777" w:rsidR="006B1F4C" w:rsidRDefault="006B1F4C" w:rsidP="006B1F4C">
      <w:r>
        <w:t xml:space="preserve">Samengevat komt het er op neer dat </w:t>
      </w:r>
    </w:p>
    <w:p w14:paraId="33748EA3" w14:textId="77777777" w:rsidR="006B1F4C" w:rsidRDefault="006B1F4C">
      <w:pPr>
        <w:pStyle w:val="Lijstnummering"/>
        <w:numPr>
          <w:ilvl w:val="0"/>
          <w:numId w:val="14"/>
        </w:numPr>
      </w:pPr>
      <w:r w:rsidRPr="007F482B">
        <w:t>te weinig cruciale gegevens</w:t>
      </w:r>
      <w:r>
        <w:t xml:space="preserve"> en types overheidsopdrachten</w:t>
      </w:r>
      <w:r w:rsidRPr="007F482B">
        <w:t xml:space="preserve"> geregistreerd w</w:t>
      </w:r>
      <w:r>
        <w:t>o</w:t>
      </w:r>
      <w:r w:rsidRPr="007F482B">
        <w:t>rden, bijvoorbe</w:t>
      </w:r>
      <w:r>
        <w:t>eld door het beperkte toepassingsgebied van onder meer de aankondiging van gegunde opdracht;</w:t>
      </w:r>
    </w:p>
    <w:p w14:paraId="1990D7D0" w14:textId="77777777" w:rsidR="006B1F4C" w:rsidRDefault="006B1F4C">
      <w:pPr>
        <w:pStyle w:val="Lijstnummering"/>
        <w:numPr>
          <w:ilvl w:val="0"/>
          <w:numId w:val="14"/>
        </w:numPr>
      </w:pPr>
      <w:r>
        <w:t>de reeds bestaande verplichtingen tot het registreren van bepaalde informatie niet voldoende nageleefd worden;</w:t>
      </w:r>
    </w:p>
    <w:p w14:paraId="64B3FCCF" w14:textId="77777777" w:rsidR="006B1F4C" w:rsidRDefault="006B1F4C">
      <w:pPr>
        <w:pStyle w:val="Lijstnummering"/>
        <w:numPr>
          <w:ilvl w:val="0"/>
          <w:numId w:val="14"/>
        </w:numPr>
      </w:pPr>
      <w:r>
        <w:t xml:space="preserve">de kwaliteit van de geregistreerde gegevens beperkt is. </w:t>
      </w:r>
    </w:p>
    <w:p w14:paraId="67F67E84" w14:textId="5F8260D3" w:rsidR="006B1F4C" w:rsidRPr="00344136" w:rsidRDefault="006B1F4C" w:rsidP="006B1F4C">
      <w:pPr>
        <w:pStyle w:val="Kop3"/>
      </w:pPr>
      <w:r>
        <w:lastRenderedPageBreak/>
        <w:t xml:space="preserve"> </w:t>
      </w:r>
      <w:bookmarkStart w:id="243" w:name="_Toc135840035"/>
      <w:bookmarkStart w:id="244" w:name="_Toc150870640"/>
      <w:r>
        <w:t>Beschikbare cijfers op federaal niveau</w:t>
      </w:r>
      <w:bookmarkEnd w:id="243"/>
      <w:bookmarkEnd w:id="244"/>
      <w:r>
        <w:t xml:space="preserve"> </w:t>
      </w:r>
    </w:p>
    <w:p w14:paraId="76608EAD" w14:textId="77777777" w:rsidR="006B1F4C" w:rsidRDefault="006B1F4C" w:rsidP="006B1F4C">
      <w:r>
        <w:t>Tijdens het bestuderen van de kwaliteit van de gegevens over overheidsopdrachten heeft de FOD Economie in samenwerking met de FOD BOSA getracht om, in de mate van het mogelijke, de kmo-participatie bij federale overheidsopdrachten in kaart te brengen.</w:t>
      </w:r>
    </w:p>
    <w:p w14:paraId="714E854C" w14:textId="77777777" w:rsidR="006B1F4C" w:rsidRDefault="006B1F4C" w:rsidP="006B1F4C">
      <w:r>
        <w:t>In wat volgt worden kort de belangrijkste vaststellingen getoond en samengevat. Het is belangrijk om op te merken dat de weergegeven data enkel handelt over</w:t>
      </w:r>
    </w:p>
    <w:p w14:paraId="6C5C9796" w14:textId="6E10154B" w:rsidR="006B1F4C" w:rsidRPr="00A82495" w:rsidRDefault="006B1F4C" w:rsidP="005629CB">
      <w:pPr>
        <w:pStyle w:val="Bullet1"/>
        <w:rPr>
          <w:lang w:val="nl-BE"/>
        </w:rPr>
      </w:pPr>
      <w:r w:rsidRPr="00A82495">
        <w:rPr>
          <w:lang w:val="nl-BE"/>
        </w:rPr>
        <w:t>de ontvangen offertes voor federale overheidsopdrachten, de data over de toekenning van overheidsopdrachten was te beperkt in</w:t>
      </w:r>
      <w:r w:rsidR="00DD36D0">
        <w:rPr>
          <w:lang w:val="nl-BE"/>
        </w:rPr>
        <w:t xml:space="preserve"> aantal en in</w:t>
      </w:r>
      <w:r w:rsidRPr="00A82495">
        <w:rPr>
          <w:lang w:val="nl-BE"/>
        </w:rPr>
        <w:t xml:space="preserve"> kwaliteit om bruikbaar te zijn; </w:t>
      </w:r>
    </w:p>
    <w:p w14:paraId="373053BF" w14:textId="56C348C0" w:rsidR="006B1F4C" w:rsidRPr="00A82495" w:rsidRDefault="006B1F4C" w:rsidP="005629CB">
      <w:pPr>
        <w:pStyle w:val="Bullet1"/>
        <w:rPr>
          <w:lang w:val="nl-BE"/>
        </w:rPr>
      </w:pPr>
      <w:r w:rsidRPr="00A82495">
        <w:rPr>
          <w:lang w:val="nl-BE"/>
        </w:rPr>
        <w:t>de periode 2015-202</w:t>
      </w:r>
      <w:r w:rsidR="000D40F4">
        <w:rPr>
          <w:lang w:val="nl-BE"/>
        </w:rPr>
        <w:t>2</w:t>
      </w:r>
      <w:r w:rsidRPr="00A82495">
        <w:rPr>
          <w:lang w:val="nl-BE"/>
        </w:rPr>
        <w:t>, waarbij de wetgeving overheidsopdrachten vele wijzigingen onderging in de periode 2016-2017;</w:t>
      </w:r>
    </w:p>
    <w:p w14:paraId="5409A2C6" w14:textId="77777777" w:rsidR="006B1F4C" w:rsidRPr="00A82495" w:rsidRDefault="006B1F4C" w:rsidP="005629CB">
      <w:pPr>
        <w:pStyle w:val="Bullet1"/>
        <w:rPr>
          <w:lang w:val="nl-BE"/>
        </w:rPr>
      </w:pPr>
      <w:r w:rsidRPr="00A82495">
        <w:rPr>
          <w:lang w:val="nl-BE"/>
        </w:rPr>
        <w:t>voornamelijk overheidsopdrachten met een waarde hoger dan 30.000 euro, verdere informatie over de waarde is beperkt;</w:t>
      </w:r>
    </w:p>
    <w:p w14:paraId="10B65E59" w14:textId="041C658D" w:rsidR="006B1F4C" w:rsidRPr="00A82495" w:rsidRDefault="006B1F4C" w:rsidP="005629CB">
      <w:pPr>
        <w:pStyle w:val="Bullet1"/>
        <w:rPr>
          <w:lang w:val="nl-BE"/>
        </w:rPr>
      </w:pPr>
      <w:r w:rsidRPr="00A82495">
        <w:rPr>
          <w:lang w:val="nl-BE"/>
        </w:rPr>
        <w:t xml:space="preserve">niet over het gebruik van onderaanneming, noch over het gebruik maken van percelen of over vervolgopdrachten op raamovereenkomsten of over opdrachten die niet elektronisch via e-Procurement verlopen.   </w:t>
      </w:r>
    </w:p>
    <w:p w14:paraId="3F4E3CB2" w14:textId="180EAA0B" w:rsidR="006B1F4C" w:rsidRDefault="006B1F4C" w:rsidP="006B1F4C">
      <w:r>
        <w:t xml:space="preserve">Het gaat met andere woorden om partiële gegevens. Concreet wordt gewerkt met een dataset bestaande uit </w:t>
      </w:r>
      <w:r w:rsidR="000D40F4">
        <w:t>38.920</w:t>
      </w:r>
      <w:r>
        <w:t xml:space="preserve"> offertes voor </w:t>
      </w:r>
      <w:r w:rsidR="000D40F4">
        <w:t>11.580</w:t>
      </w:r>
      <w:r>
        <w:t xml:space="preserve"> overheidsopdrachten, afkomstig van </w:t>
      </w:r>
      <w:r w:rsidR="000D40F4">
        <w:t>8.027</w:t>
      </w:r>
      <w:r>
        <w:t xml:space="preserve"> unieke ondernemingen (= een onderneming wordt één keer geteld voor de hele periode los van het aantal verzonden offertes, of dat nu 1 of 100 is). </w:t>
      </w:r>
    </w:p>
    <w:p w14:paraId="377B53A1" w14:textId="77777777" w:rsidR="006B1F4C" w:rsidRDefault="006B1F4C" w:rsidP="006B1F4C">
      <w:r>
        <w:t>Volgende tabel en grafiek geven de drie belangrijkste vaststellingen weer.</w:t>
      </w:r>
    </w:p>
    <w:p w14:paraId="344C8765" w14:textId="074FF6D0" w:rsidR="005372DC" w:rsidRPr="005372DC" w:rsidRDefault="005372DC" w:rsidP="005372DC">
      <w:pPr>
        <w:pStyle w:val="Table-H1"/>
        <w:jc w:val="both"/>
      </w:pPr>
      <w:bookmarkStart w:id="245" w:name="_Toc88842166"/>
      <w:r w:rsidRPr="005372DC">
        <w:t xml:space="preserve">Tabel </w:t>
      </w:r>
      <w:r w:rsidR="001D08BD">
        <w:t>2</w:t>
      </w:r>
      <w:r w:rsidRPr="005372DC">
        <w:t xml:space="preserve"> – Aandeel verzonden offertes volgens ondernemingsgrootte, per jaar (2015-202</w:t>
      </w:r>
      <w:r w:rsidR="000F6001">
        <w:t>2</w:t>
      </w:r>
      <w:r w:rsidRPr="005372DC">
        <w:t>)</w:t>
      </w:r>
      <w:bookmarkEnd w:id="245"/>
    </w:p>
    <w:tbl>
      <w:tblPr>
        <w:tblW w:w="5000" w:type="pct"/>
        <w:tblCellMar>
          <w:left w:w="70" w:type="dxa"/>
          <w:right w:w="70" w:type="dxa"/>
        </w:tblCellMar>
        <w:tblLook w:val="04A0" w:firstRow="1" w:lastRow="0" w:firstColumn="1" w:lastColumn="0" w:noHBand="0" w:noVBand="1"/>
      </w:tblPr>
      <w:tblGrid>
        <w:gridCol w:w="2255"/>
        <w:gridCol w:w="781"/>
        <w:gridCol w:w="781"/>
        <w:gridCol w:w="781"/>
        <w:gridCol w:w="781"/>
        <w:gridCol w:w="781"/>
        <w:gridCol w:w="781"/>
        <w:gridCol w:w="781"/>
        <w:gridCol w:w="782"/>
      </w:tblGrid>
      <w:tr w:rsidR="001703C6" w:rsidRPr="00894535" w14:paraId="39791DFE" w14:textId="77777777" w:rsidTr="001703C6">
        <w:trPr>
          <w:trHeight w:val="20"/>
        </w:trPr>
        <w:tc>
          <w:tcPr>
            <w:tcW w:w="1326" w:type="pct"/>
            <w:vMerge w:val="restart"/>
            <w:tcBorders>
              <w:top w:val="nil"/>
              <w:left w:val="nil"/>
              <w:bottom w:val="single" w:sz="4" w:space="0" w:color="000000"/>
              <w:right w:val="single" w:sz="8" w:space="0" w:color="auto"/>
            </w:tcBorders>
            <w:shd w:val="clear" w:color="auto" w:fill="D9D9D9" w:themeFill="background1" w:themeFillShade="D9"/>
            <w:noWrap/>
            <w:vAlign w:val="center"/>
            <w:hideMark/>
          </w:tcPr>
          <w:p w14:paraId="52C849EC" w14:textId="77777777" w:rsidR="001703C6" w:rsidRPr="007F0932" w:rsidRDefault="001703C6">
            <w:pPr>
              <w:spacing w:before="60" w:after="60"/>
              <w:jc w:val="center"/>
              <w:rPr>
                <w:rFonts w:eastAsia="Times New Roman" w:cs="Calibri"/>
                <w:b/>
                <w:bCs/>
                <w:color w:val="000000"/>
                <w:lang w:eastAsia="nl-BE"/>
              </w:rPr>
            </w:pPr>
            <w:r w:rsidRPr="007F0932">
              <w:rPr>
                <w:rFonts w:eastAsia="Times New Roman" w:cs="Calibri"/>
                <w:b/>
                <w:bCs/>
                <w:color w:val="000000"/>
                <w:lang w:eastAsia="nl-BE"/>
              </w:rPr>
              <w:t xml:space="preserve">Grootteklasse </w:t>
            </w:r>
          </w:p>
          <w:p w14:paraId="68C8B501" w14:textId="77777777" w:rsidR="001703C6" w:rsidRPr="007F0932" w:rsidRDefault="001703C6">
            <w:pPr>
              <w:spacing w:before="60" w:after="60"/>
              <w:jc w:val="center"/>
              <w:rPr>
                <w:rFonts w:eastAsia="Times New Roman" w:cs="Calibri"/>
                <w:b/>
                <w:bCs/>
                <w:color w:val="000000"/>
                <w:lang w:eastAsia="nl-BE"/>
              </w:rPr>
            </w:pPr>
            <w:r w:rsidRPr="007F0932">
              <w:rPr>
                <w:rFonts w:eastAsia="Times New Roman" w:cs="Calibri"/>
                <w:b/>
                <w:bCs/>
                <w:color w:val="000000"/>
                <w:lang w:eastAsia="nl-BE"/>
              </w:rPr>
              <w:t>onderneming</w:t>
            </w:r>
          </w:p>
        </w:tc>
        <w:tc>
          <w:tcPr>
            <w:tcW w:w="3674" w:type="pct"/>
            <w:gridSpan w:val="8"/>
            <w:tcBorders>
              <w:top w:val="nil"/>
              <w:left w:val="nil"/>
              <w:bottom w:val="nil"/>
              <w:right w:val="nil"/>
            </w:tcBorders>
            <w:shd w:val="clear" w:color="auto" w:fill="D9D9D9" w:themeFill="background1" w:themeFillShade="D9"/>
            <w:vAlign w:val="center"/>
            <w:hideMark/>
          </w:tcPr>
          <w:p w14:paraId="5D8E5C55" w14:textId="1ABAA944" w:rsidR="001703C6" w:rsidRPr="007F0932" w:rsidRDefault="001703C6">
            <w:pPr>
              <w:spacing w:before="60" w:after="60"/>
              <w:jc w:val="center"/>
              <w:rPr>
                <w:rFonts w:eastAsia="Times New Roman" w:cs="Calibri"/>
                <w:b/>
                <w:bCs/>
                <w:color w:val="000000"/>
                <w:lang w:eastAsia="nl-BE"/>
              </w:rPr>
            </w:pPr>
            <w:r w:rsidRPr="007F0932">
              <w:rPr>
                <w:rFonts w:eastAsia="Times New Roman" w:cs="Calibri"/>
                <w:b/>
                <w:bCs/>
                <w:color w:val="000000"/>
                <w:lang w:eastAsia="nl-BE"/>
              </w:rPr>
              <w:t>Aandeel</w:t>
            </w:r>
          </w:p>
        </w:tc>
      </w:tr>
      <w:tr w:rsidR="00923BED" w:rsidRPr="005506B2" w14:paraId="7A2C4B76" w14:textId="77777777" w:rsidTr="001703C6">
        <w:trPr>
          <w:trHeight w:val="20"/>
        </w:trPr>
        <w:tc>
          <w:tcPr>
            <w:tcW w:w="1326" w:type="pct"/>
            <w:vMerge/>
            <w:tcBorders>
              <w:top w:val="nil"/>
              <w:left w:val="nil"/>
              <w:bottom w:val="single" w:sz="4" w:space="0" w:color="000000"/>
              <w:right w:val="single" w:sz="8" w:space="0" w:color="auto"/>
            </w:tcBorders>
            <w:shd w:val="clear" w:color="auto" w:fill="D9D9D9" w:themeFill="background1" w:themeFillShade="D9"/>
            <w:vAlign w:val="center"/>
            <w:hideMark/>
          </w:tcPr>
          <w:p w14:paraId="76806F70" w14:textId="77777777" w:rsidR="00923BED" w:rsidRPr="007F0932" w:rsidRDefault="00923BED">
            <w:pPr>
              <w:spacing w:before="60" w:after="60"/>
              <w:rPr>
                <w:rFonts w:eastAsia="Times New Roman" w:cs="Calibri"/>
                <w:b/>
                <w:bCs/>
                <w:color w:val="000000"/>
                <w:lang w:eastAsia="nl-BE"/>
              </w:rPr>
            </w:pPr>
          </w:p>
        </w:tc>
        <w:tc>
          <w:tcPr>
            <w:tcW w:w="459" w:type="pct"/>
            <w:tcBorders>
              <w:top w:val="nil"/>
              <w:left w:val="nil"/>
              <w:bottom w:val="nil"/>
              <w:right w:val="nil"/>
            </w:tcBorders>
            <w:shd w:val="clear" w:color="auto" w:fill="D9D9D9" w:themeFill="background1" w:themeFillShade="D9"/>
            <w:vAlign w:val="center"/>
            <w:hideMark/>
          </w:tcPr>
          <w:p w14:paraId="3840178B"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2015</w:t>
            </w:r>
          </w:p>
        </w:tc>
        <w:tc>
          <w:tcPr>
            <w:tcW w:w="459" w:type="pct"/>
            <w:tcBorders>
              <w:top w:val="nil"/>
              <w:left w:val="nil"/>
              <w:bottom w:val="nil"/>
              <w:right w:val="nil"/>
            </w:tcBorders>
            <w:shd w:val="clear" w:color="auto" w:fill="D9D9D9" w:themeFill="background1" w:themeFillShade="D9"/>
            <w:vAlign w:val="center"/>
            <w:hideMark/>
          </w:tcPr>
          <w:p w14:paraId="0DD41314"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2016</w:t>
            </w:r>
          </w:p>
        </w:tc>
        <w:tc>
          <w:tcPr>
            <w:tcW w:w="459" w:type="pct"/>
            <w:tcBorders>
              <w:top w:val="nil"/>
              <w:left w:val="nil"/>
              <w:bottom w:val="nil"/>
              <w:right w:val="nil"/>
            </w:tcBorders>
            <w:shd w:val="clear" w:color="auto" w:fill="D9D9D9" w:themeFill="background1" w:themeFillShade="D9"/>
            <w:vAlign w:val="center"/>
            <w:hideMark/>
          </w:tcPr>
          <w:p w14:paraId="1BECA91B"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2017</w:t>
            </w:r>
          </w:p>
        </w:tc>
        <w:tc>
          <w:tcPr>
            <w:tcW w:w="459" w:type="pct"/>
            <w:tcBorders>
              <w:top w:val="nil"/>
              <w:left w:val="nil"/>
              <w:bottom w:val="nil"/>
              <w:right w:val="nil"/>
            </w:tcBorders>
            <w:shd w:val="clear" w:color="auto" w:fill="D9D9D9" w:themeFill="background1" w:themeFillShade="D9"/>
            <w:vAlign w:val="center"/>
            <w:hideMark/>
          </w:tcPr>
          <w:p w14:paraId="6120252F"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2018</w:t>
            </w:r>
          </w:p>
        </w:tc>
        <w:tc>
          <w:tcPr>
            <w:tcW w:w="459" w:type="pct"/>
            <w:tcBorders>
              <w:top w:val="nil"/>
              <w:left w:val="nil"/>
              <w:bottom w:val="nil"/>
              <w:right w:val="nil"/>
            </w:tcBorders>
            <w:shd w:val="clear" w:color="auto" w:fill="D9D9D9" w:themeFill="background1" w:themeFillShade="D9"/>
            <w:vAlign w:val="center"/>
            <w:hideMark/>
          </w:tcPr>
          <w:p w14:paraId="293F54A4"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2019</w:t>
            </w:r>
          </w:p>
        </w:tc>
        <w:tc>
          <w:tcPr>
            <w:tcW w:w="459" w:type="pct"/>
            <w:tcBorders>
              <w:top w:val="nil"/>
              <w:left w:val="nil"/>
              <w:bottom w:val="nil"/>
              <w:right w:val="nil"/>
            </w:tcBorders>
            <w:shd w:val="clear" w:color="auto" w:fill="D9D9D9" w:themeFill="background1" w:themeFillShade="D9"/>
            <w:vAlign w:val="center"/>
            <w:hideMark/>
          </w:tcPr>
          <w:p w14:paraId="7D9EE5E0"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2020</w:t>
            </w:r>
          </w:p>
        </w:tc>
        <w:tc>
          <w:tcPr>
            <w:tcW w:w="459" w:type="pct"/>
            <w:tcBorders>
              <w:top w:val="nil"/>
              <w:left w:val="nil"/>
              <w:bottom w:val="nil"/>
              <w:right w:val="nil"/>
            </w:tcBorders>
            <w:shd w:val="clear" w:color="auto" w:fill="D9D9D9" w:themeFill="background1" w:themeFillShade="D9"/>
          </w:tcPr>
          <w:p w14:paraId="53E5BB75"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2021</w:t>
            </w:r>
          </w:p>
        </w:tc>
        <w:tc>
          <w:tcPr>
            <w:tcW w:w="460" w:type="pct"/>
            <w:tcBorders>
              <w:top w:val="nil"/>
              <w:left w:val="nil"/>
              <w:bottom w:val="nil"/>
              <w:right w:val="nil"/>
            </w:tcBorders>
            <w:shd w:val="clear" w:color="auto" w:fill="D9D9D9" w:themeFill="background1" w:themeFillShade="D9"/>
          </w:tcPr>
          <w:p w14:paraId="2F5565BA" w14:textId="77777777" w:rsidR="00923BED" w:rsidRPr="007F0932" w:rsidRDefault="00923BED">
            <w:pPr>
              <w:spacing w:before="60" w:after="60"/>
              <w:jc w:val="center"/>
              <w:rPr>
                <w:rFonts w:eastAsia="Times New Roman" w:cs="Calibri"/>
                <w:b/>
                <w:bCs/>
                <w:color w:val="000000"/>
                <w:lang w:eastAsia="nl-BE"/>
              </w:rPr>
            </w:pPr>
            <w:r w:rsidRPr="007F0932">
              <w:rPr>
                <w:rFonts w:eastAsia="Times New Roman" w:cs="Calibri"/>
                <w:b/>
                <w:bCs/>
                <w:color w:val="000000"/>
                <w:lang w:eastAsia="nl-BE"/>
              </w:rPr>
              <w:t>2022</w:t>
            </w:r>
          </w:p>
        </w:tc>
      </w:tr>
      <w:tr w:rsidR="00923BED" w:rsidRPr="00894535" w14:paraId="39BAE92A" w14:textId="77777777" w:rsidTr="001703C6">
        <w:trPr>
          <w:trHeight w:val="20"/>
        </w:trPr>
        <w:tc>
          <w:tcPr>
            <w:tcW w:w="1326" w:type="pct"/>
            <w:tcBorders>
              <w:top w:val="nil"/>
              <w:left w:val="nil"/>
              <w:bottom w:val="nil"/>
              <w:right w:val="single" w:sz="8" w:space="0" w:color="auto"/>
            </w:tcBorders>
            <w:shd w:val="clear" w:color="auto" w:fill="auto"/>
            <w:noWrap/>
            <w:vAlign w:val="center"/>
            <w:hideMark/>
          </w:tcPr>
          <w:p w14:paraId="1057E53B" w14:textId="77777777" w:rsidR="00923BED" w:rsidRPr="007F0932" w:rsidRDefault="00923BED">
            <w:pPr>
              <w:spacing w:before="60" w:after="60"/>
              <w:rPr>
                <w:rFonts w:eastAsia="Times New Roman" w:cs="Calibri"/>
                <w:color w:val="000000"/>
                <w:lang w:eastAsia="nl-BE"/>
              </w:rPr>
            </w:pPr>
            <w:r w:rsidRPr="007F0932">
              <w:rPr>
                <w:rFonts w:eastAsia="Times New Roman" w:cs="Calibri"/>
                <w:color w:val="000000"/>
                <w:lang w:eastAsia="nl-BE"/>
              </w:rPr>
              <w:t>Geen werknemers</w:t>
            </w:r>
          </w:p>
        </w:tc>
        <w:tc>
          <w:tcPr>
            <w:tcW w:w="459" w:type="pct"/>
            <w:tcBorders>
              <w:top w:val="single" w:sz="4" w:space="0" w:color="auto"/>
              <w:left w:val="nil"/>
              <w:bottom w:val="nil"/>
              <w:right w:val="nil"/>
            </w:tcBorders>
            <w:shd w:val="clear" w:color="auto" w:fill="auto"/>
            <w:hideMark/>
          </w:tcPr>
          <w:p w14:paraId="1701C98D" w14:textId="77777777" w:rsidR="00923BED" w:rsidRPr="007F0932" w:rsidRDefault="00923BED">
            <w:pPr>
              <w:spacing w:before="60" w:after="60"/>
              <w:jc w:val="center"/>
              <w:rPr>
                <w:rFonts w:eastAsia="Times New Roman" w:cs="Calibri"/>
                <w:lang w:eastAsia="nl-BE"/>
              </w:rPr>
            </w:pPr>
            <w:r w:rsidRPr="007F0932">
              <w:t>7,7%</w:t>
            </w:r>
          </w:p>
        </w:tc>
        <w:tc>
          <w:tcPr>
            <w:tcW w:w="459" w:type="pct"/>
            <w:tcBorders>
              <w:top w:val="single" w:sz="4" w:space="0" w:color="auto"/>
              <w:left w:val="nil"/>
              <w:bottom w:val="nil"/>
              <w:right w:val="nil"/>
            </w:tcBorders>
            <w:shd w:val="clear" w:color="auto" w:fill="auto"/>
            <w:hideMark/>
          </w:tcPr>
          <w:p w14:paraId="3A9DD3C8" w14:textId="77777777" w:rsidR="00923BED" w:rsidRPr="007F0932" w:rsidRDefault="00923BED">
            <w:pPr>
              <w:spacing w:before="60" w:after="60"/>
              <w:jc w:val="center"/>
              <w:rPr>
                <w:rFonts w:eastAsia="Times New Roman" w:cs="Calibri"/>
                <w:lang w:eastAsia="nl-BE"/>
              </w:rPr>
            </w:pPr>
            <w:r w:rsidRPr="007F0932">
              <w:t>8,1%</w:t>
            </w:r>
          </w:p>
        </w:tc>
        <w:tc>
          <w:tcPr>
            <w:tcW w:w="459" w:type="pct"/>
            <w:tcBorders>
              <w:top w:val="single" w:sz="4" w:space="0" w:color="auto"/>
              <w:left w:val="nil"/>
              <w:bottom w:val="nil"/>
              <w:right w:val="nil"/>
            </w:tcBorders>
            <w:shd w:val="clear" w:color="auto" w:fill="auto"/>
            <w:hideMark/>
          </w:tcPr>
          <w:p w14:paraId="53D263EA" w14:textId="77777777" w:rsidR="00923BED" w:rsidRPr="007F0932" w:rsidRDefault="00923BED">
            <w:pPr>
              <w:spacing w:before="60" w:after="60"/>
              <w:jc w:val="center"/>
              <w:rPr>
                <w:rFonts w:eastAsia="Times New Roman" w:cs="Calibri"/>
                <w:lang w:eastAsia="nl-BE"/>
              </w:rPr>
            </w:pPr>
            <w:r w:rsidRPr="007F0932">
              <w:t>8,5%</w:t>
            </w:r>
          </w:p>
        </w:tc>
        <w:tc>
          <w:tcPr>
            <w:tcW w:w="459" w:type="pct"/>
            <w:tcBorders>
              <w:top w:val="single" w:sz="4" w:space="0" w:color="auto"/>
              <w:left w:val="nil"/>
              <w:bottom w:val="nil"/>
              <w:right w:val="nil"/>
            </w:tcBorders>
            <w:shd w:val="clear" w:color="000000" w:fill="F2F2F2"/>
            <w:hideMark/>
          </w:tcPr>
          <w:p w14:paraId="494FF40E" w14:textId="77777777" w:rsidR="00923BED" w:rsidRPr="007F0932" w:rsidRDefault="00923BED">
            <w:pPr>
              <w:spacing w:before="60" w:after="60"/>
              <w:jc w:val="center"/>
              <w:rPr>
                <w:rFonts w:eastAsia="Times New Roman" w:cs="Calibri"/>
                <w:lang w:eastAsia="nl-BE"/>
              </w:rPr>
            </w:pPr>
            <w:r w:rsidRPr="007F0932">
              <w:t>6,7%</w:t>
            </w:r>
          </w:p>
        </w:tc>
        <w:tc>
          <w:tcPr>
            <w:tcW w:w="459" w:type="pct"/>
            <w:tcBorders>
              <w:top w:val="single" w:sz="4" w:space="0" w:color="auto"/>
              <w:left w:val="nil"/>
              <w:bottom w:val="nil"/>
              <w:right w:val="nil"/>
            </w:tcBorders>
            <w:shd w:val="clear" w:color="000000" w:fill="F2F2F2"/>
            <w:hideMark/>
          </w:tcPr>
          <w:p w14:paraId="1B529415" w14:textId="77777777" w:rsidR="00923BED" w:rsidRPr="007F0932" w:rsidRDefault="00923BED">
            <w:pPr>
              <w:spacing w:before="60" w:after="60"/>
              <w:jc w:val="center"/>
              <w:rPr>
                <w:rFonts w:eastAsia="Times New Roman" w:cs="Calibri"/>
                <w:lang w:eastAsia="nl-BE"/>
              </w:rPr>
            </w:pPr>
            <w:r w:rsidRPr="007F0932">
              <w:t>5,5%</w:t>
            </w:r>
          </w:p>
        </w:tc>
        <w:tc>
          <w:tcPr>
            <w:tcW w:w="459" w:type="pct"/>
            <w:tcBorders>
              <w:top w:val="single" w:sz="4" w:space="0" w:color="auto"/>
              <w:left w:val="nil"/>
              <w:bottom w:val="nil"/>
              <w:right w:val="nil"/>
            </w:tcBorders>
            <w:shd w:val="clear" w:color="000000" w:fill="F2F2F2"/>
            <w:hideMark/>
          </w:tcPr>
          <w:p w14:paraId="4A0798AF" w14:textId="77777777" w:rsidR="00923BED" w:rsidRPr="007F0932" w:rsidRDefault="00923BED">
            <w:pPr>
              <w:spacing w:before="60" w:after="60"/>
              <w:jc w:val="center"/>
              <w:rPr>
                <w:rFonts w:eastAsia="Times New Roman" w:cs="Calibri"/>
                <w:lang w:eastAsia="nl-BE"/>
              </w:rPr>
            </w:pPr>
            <w:r w:rsidRPr="007F0932">
              <w:t>6,3%</w:t>
            </w:r>
          </w:p>
        </w:tc>
        <w:tc>
          <w:tcPr>
            <w:tcW w:w="459" w:type="pct"/>
            <w:tcBorders>
              <w:top w:val="single" w:sz="4" w:space="0" w:color="auto"/>
              <w:left w:val="nil"/>
              <w:bottom w:val="nil"/>
              <w:right w:val="nil"/>
            </w:tcBorders>
            <w:shd w:val="clear" w:color="000000" w:fill="F2F2F2"/>
          </w:tcPr>
          <w:p w14:paraId="20794E1D" w14:textId="77777777" w:rsidR="00923BED" w:rsidRPr="007F0932" w:rsidRDefault="00923BED">
            <w:pPr>
              <w:spacing w:before="60" w:after="60"/>
              <w:jc w:val="center"/>
              <w:rPr>
                <w:rFonts w:eastAsia="Times New Roman" w:cs="Calibri"/>
                <w:lang w:eastAsia="nl-BE"/>
              </w:rPr>
            </w:pPr>
            <w:r w:rsidRPr="007F0932">
              <w:t>7,1%</w:t>
            </w:r>
          </w:p>
        </w:tc>
        <w:tc>
          <w:tcPr>
            <w:tcW w:w="460" w:type="pct"/>
            <w:tcBorders>
              <w:top w:val="single" w:sz="4" w:space="0" w:color="auto"/>
              <w:left w:val="nil"/>
              <w:bottom w:val="nil"/>
              <w:right w:val="nil"/>
            </w:tcBorders>
            <w:shd w:val="clear" w:color="000000" w:fill="F2F2F2"/>
          </w:tcPr>
          <w:p w14:paraId="68B66E86" w14:textId="77777777" w:rsidR="00923BED" w:rsidRPr="007F0932" w:rsidRDefault="00923BED">
            <w:pPr>
              <w:spacing w:before="60" w:after="60"/>
              <w:jc w:val="center"/>
              <w:rPr>
                <w:rFonts w:cs="Calibri"/>
              </w:rPr>
            </w:pPr>
            <w:r w:rsidRPr="007F0932">
              <w:t>7,4%</w:t>
            </w:r>
          </w:p>
        </w:tc>
      </w:tr>
      <w:tr w:rsidR="00923BED" w:rsidRPr="00894535" w14:paraId="27C6533B" w14:textId="77777777" w:rsidTr="001703C6">
        <w:trPr>
          <w:trHeight w:val="20"/>
        </w:trPr>
        <w:tc>
          <w:tcPr>
            <w:tcW w:w="1326" w:type="pct"/>
            <w:tcBorders>
              <w:top w:val="nil"/>
              <w:left w:val="nil"/>
              <w:bottom w:val="nil"/>
              <w:right w:val="single" w:sz="8" w:space="0" w:color="auto"/>
            </w:tcBorders>
            <w:shd w:val="clear" w:color="auto" w:fill="auto"/>
            <w:noWrap/>
            <w:vAlign w:val="center"/>
            <w:hideMark/>
          </w:tcPr>
          <w:p w14:paraId="528FCBF8" w14:textId="77777777" w:rsidR="00923BED" w:rsidRPr="007F0932" w:rsidRDefault="00923BED">
            <w:pPr>
              <w:spacing w:before="60" w:after="60"/>
              <w:rPr>
                <w:rFonts w:eastAsia="Times New Roman" w:cs="Calibri"/>
                <w:color w:val="000000"/>
                <w:lang w:eastAsia="nl-BE"/>
              </w:rPr>
            </w:pPr>
            <w:r w:rsidRPr="007F0932">
              <w:rPr>
                <w:rFonts w:eastAsia="Times New Roman" w:cs="Calibri"/>
                <w:color w:val="000000"/>
                <w:lang w:eastAsia="nl-BE"/>
              </w:rPr>
              <w:t>Micro (1-9 werknemers)</w:t>
            </w:r>
          </w:p>
        </w:tc>
        <w:tc>
          <w:tcPr>
            <w:tcW w:w="459" w:type="pct"/>
            <w:tcBorders>
              <w:top w:val="nil"/>
              <w:left w:val="nil"/>
              <w:bottom w:val="nil"/>
              <w:right w:val="nil"/>
            </w:tcBorders>
            <w:shd w:val="clear" w:color="auto" w:fill="auto"/>
            <w:hideMark/>
          </w:tcPr>
          <w:p w14:paraId="7190CF85" w14:textId="77777777" w:rsidR="00923BED" w:rsidRPr="007F0932" w:rsidRDefault="00923BED">
            <w:pPr>
              <w:spacing w:before="60" w:after="60"/>
              <w:jc w:val="center"/>
              <w:rPr>
                <w:rFonts w:eastAsia="Times New Roman" w:cs="Calibri"/>
                <w:lang w:eastAsia="nl-BE"/>
              </w:rPr>
            </w:pPr>
            <w:r w:rsidRPr="007F0932">
              <w:t>18,2%</w:t>
            </w:r>
          </w:p>
        </w:tc>
        <w:tc>
          <w:tcPr>
            <w:tcW w:w="459" w:type="pct"/>
            <w:tcBorders>
              <w:top w:val="nil"/>
              <w:left w:val="nil"/>
              <w:bottom w:val="nil"/>
              <w:right w:val="nil"/>
            </w:tcBorders>
            <w:shd w:val="clear" w:color="auto" w:fill="auto"/>
            <w:hideMark/>
          </w:tcPr>
          <w:p w14:paraId="5B7606C5" w14:textId="77777777" w:rsidR="00923BED" w:rsidRPr="007F0932" w:rsidRDefault="00923BED">
            <w:pPr>
              <w:spacing w:before="60" w:after="60"/>
              <w:jc w:val="center"/>
              <w:rPr>
                <w:rFonts w:eastAsia="Times New Roman" w:cs="Calibri"/>
                <w:lang w:eastAsia="nl-BE"/>
              </w:rPr>
            </w:pPr>
            <w:r w:rsidRPr="007F0932">
              <w:t>15,8%</w:t>
            </w:r>
          </w:p>
        </w:tc>
        <w:tc>
          <w:tcPr>
            <w:tcW w:w="459" w:type="pct"/>
            <w:tcBorders>
              <w:top w:val="nil"/>
              <w:left w:val="nil"/>
              <w:bottom w:val="nil"/>
              <w:right w:val="nil"/>
            </w:tcBorders>
            <w:shd w:val="clear" w:color="auto" w:fill="auto"/>
            <w:hideMark/>
          </w:tcPr>
          <w:p w14:paraId="59EE8B4E" w14:textId="77777777" w:rsidR="00923BED" w:rsidRPr="007F0932" w:rsidRDefault="00923BED">
            <w:pPr>
              <w:spacing w:before="60" w:after="60"/>
              <w:jc w:val="center"/>
              <w:rPr>
                <w:rFonts w:eastAsia="Times New Roman" w:cs="Calibri"/>
                <w:lang w:eastAsia="nl-BE"/>
              </w:rPr>
            </w:pPr>
            <w:r w:rsidRPr="007F0932">
              <w:t>17,3%</w:t>
            </w:r>
          </w:p>
        </w:tc>
        <w:tc>
          <w:tcPr>
            <w:tcW w:w="459" w:type="pct"/>
            <w:tcBorders>
              <w:top w:val="nil"/>
              <w:left w:val="nil"/>
              <w:bottom w:val="nil"/>
              <w:right w:val="nil"/>
            </w:tcBorders>
            <w:shd w:val="clear" w:color="000000" w:fill="F2F2F2"/>
            <w:hideMark/>
          </w:tcPr>
          <w:p w14:paraId="2F632413" w14:textId="77777777" w:rsidR="00923BED" w:rsidRPr="007F0932" w:rsidRDefault="00923BED">
            <w:pPr>
              <w:spacing w:before="60" w:after="60"/>
              <w:jc w:val="center"/>
              <w:rPr>
                <w:rFonts w:eastAsia="Times New Roman" w:cs="Calibri"/>
                <w:lang w:eastAsia="nl-BE"/>
              </w:rPr>
            </w:pPr>
            <w:r w:rsidRPr="007F0932">
              <w:t>14,9%</w:t>
            </w:r>
          </w:p>
        </w:tc>
        <w:tc>
          <w:tcPr>
            <w:tcW w:w="459" w:type="pct"/>
            <w:tcBorders>
              <w:top w:val="nil"/>
              <w:left w:val="nil"/>
              <w:bottom w:val="nil"/>
              <w:right w:val="nil"/>
            </w:tcBorders>
            <w:shd w:val="clear" w:color="000000" w:fill="F2F2F2"/>
            <w:hideMark/>
          </w:tcPr>
          <w:p w14:paraId="096BC698" w14:textId="77777777" w:rsidR="00923BED" w:rsidRPr="007F0932" w:rsidRDefault="00923BED">
            <w:pPr>
              <w:spacing w:before="60" w:after="60"/>
              <w:jc w:val="center"/>
              <w:rPr>
                <w:rFonts w:eastAsia="Times New Roman" w:cs="Calibri"/>
                <w:lang w:eastAsia="nl-BE"/>
              </w:rPr>
            </w:pPr>
            <w:r w:rsidRPr="007F0932">
              <w:t>13,4%</w:t>
            </w:r>
          </w:p>
        </w:tc>
        <w:tc>
          <w:tcPr>
            <w:tcW w:w="459" w:type="pct"/>
            <w:tcBorders>
              <w:top w:val="nil"/>
              <w:left w:val="nil"/>
              <w:bottom w:val="nil"/>
              <w:right w:val="nil"/>
            </w:tcBorders>
            <w:shd w:val="clear" w:color="000000" w:fill="F2F2F2"/>
            <w:hideMark/>
          </w:tcPr>
          <w:p w14:paraId="06AE78F5" w14:textId="77777777" w:rsidR="00923BED" w:rsidRPr="007F0932" w:rsidRDefault="00923BED">
            <w:pPr>
              <w:spacing w:before="60" w:after="60"/>
              <w:jc w:val="center"/>
              <w:rPr>
                <w:rFonts w:eastAsia="Times New Roman" w:cs="Calibri"/>
                <w:lang w:eastAsia="nl-BE"/>
              </w:rPr>
            </w:pPr>
            <w:r w:rsidRPr="007F0932">
              <w:t>13,9%</w:t>
            </w:r>
          </w:p>
        </w:tc>
        <w:tc>
          <w:tcPr>
            <w:tcW w:w="459" w:type="pct"/>
            <w:tcBorders>
              <w:top w:val="nil"/>
              <w:left w:val="nil"/>
              <w:bottom w:val="nil"/>
              <w:right w:val="nil"/>
            </w:tcBorders>
            <w:shd w:val="clear" w:color="000000" w:fill="F2F2F2"/>
          </w:tcPr>
          <w:p w14:paraId="6E630A45" w14:textId="77777777" w:rsidR="00923BED" w:rsidRPr="007F0932" w:rsidRDefault="00923BED">
            <w:pPr>
              <w:spacing w:before="60" w:after="60"/>
              <w:jc w:val="center"/>
              <w:rPr>
                <w:rFonts w:eastAsia="Times New Roman" w:cs="Calibri"/>
                <w:lang w:eastAsia="nl-BE"/>
              </w:rPr>
            </w:pPr>
            <w:r w:rsidRPr="007F0932">
              <w:t>13,2%</w:t>
            </w:r>
          </w:p>
        </w:tc>
        <w:tc>
          <w:tcPr>
            <w:tcW w:w="460" w:type="pct"/>
            <w:tcBorders>
              <w:top w:val="nil"/>
              <w:left w:val="nil"/>
              <w:bottom w:val="nil"/>
              <w:right w:val="nil"/>
            </w:tcBorders>
            <w:shd w:val="clear" w:color="000000" w:fill="F2F2F2"/>
          </w:tcPr>
          <w:p w14:paraId="688DECE7" w14:textId="77777777" w:rsidR="00923BED" w:rsidRPr="007F0932" w:rsidRDefault="00923BED">
            <w:pPr>
              <w:spacing w:before="60" w:after="60"/>
              <w:jc w:val="center"/>
              <w:rPr>
                <w:rFonts w:cs="Calibri"/>
              </w:rPr>
            </w:pPr>
            <w:r w:rsidRPr="007F0932">
              <w:t>11,0%</w:t>
            </w:r>
          </w:p>
        </w:tc>
      </w:tr>
      <w:tr w:rsidR="00923BED" w:rsidRPr="00894535" w14:paraId="548D5EE9" w14:textId="77777777" w:rsidTr="001703C6">
        <w:trPr>
          <w:trHeight w:val="20"/>
        </w:trPr>
        <w:tc>
          <w:tcPr>
            <w:tcW w:w="1326" w:type="pct"/>
            <w:tcBorders>
              <w:top w:val="nil"/>
              <w:left w:val="nil"/>
              <w:bottom w:val="nil"/>
              <w:right w:val="single" w:sz="8" w:space="0" w:color="auto"/>
            </w:tcBorders>
            <w:shd w:val="clear" w:color="auto" w:fill="auto"/>
            <w:noWrap/>
            <w:vAlign w:val="center"/>
            <w:hideMark/>
          </w:tcPr>
          <w:p w14:paraId="7E73B4D4" w14:textId="77777777" w:rsidR="00923BED" w:rsidRPr="007F0932" w:rsidRDefault="00923BED">
            <w:pPr>
              <w:spacing w:before="60" w:after="60"/>
              <w:rPr>
                <w:rFonts w:eastAsia="Times New Roman" w:cs="Calibri"/>
                <w:color w:val="000000"/>
                <w:lang w:eastAsia="nl-BE"/>
              </w:rPr>
            </w:pPr>
            <w:r w:rsidRPr="007F0932">
              <w:rPr>
                <w:rFonts w:eastAsia="Times New Roman" w:cs="Calibri"/>
                <w:color w:val="000000"/>
                <w:lang w:eastAsia="nl-BE"/>
              </w:rPr>
              <w:t>Heel klein (10-19)</w:t>
            </w:r>
          </w:p>
        </w:tc>
        <w:tc>
          <w:tcPr>
            <w:tcW w:w="459" w:type="pct"/>
            <w:tcBorders>
              <w:top w:val="nil"/>
              <w:left w:val="nil"/>
              <w:bottom w:val="nil"/>
              <w:right w:val="nil"/>
            </w:tcBorders>
            <w:shd w:val="clear" w:color="auto" w:fill="auto"/>
            <w:hideMark/>
          </w:tcPr>
          <w:p w14:paraId="37ED2446" w14:textId="77777777" w:rsidR="00923BED" w:rsidRPr="007F0932" w:rsidRDefault="00923BED">
            <w:pPr>
              <w:spacing w:before="60" w:after="60"/>
              <w:jc w:val="center"/>
              <w:rPr>
                <w:rFonts w:eastAsia="Times New Roman" w:cs="Calibri"/>
                <w:lang w:eastAsia="nl-BE"/>
              </w:rPr>
            </w:pPr>
            <w:r w:rsidRPr="007F0932">
              <w:t>11,8%</w:t>
            </w:r>
          </w:p>
        </w:tc>
        <w:tc>
          <w:tcPr>
            <w:tcW w:w="459" w:type="pct"/>
            <w:tcBorders>
              <w:top w:val="nil"/>
              <w:left w:val="nil"/>
              <w:bottom w:val="nil"/>
              <w:right w:val="nil"/>
            </w:tcBorders>
            <w:shd w:val="clear" w:color="auto" w:fill="auto"/>
            <w:hideMark/>
          </w:tcPr>
          <w:p w14:paraId="1F9563A1" w14:textId="77777777" w:rsidR="00923BED" w:rsidRPr="007F0932" w:rsidRDefault="00923BED">
            <w:pPr>
              <w:spacing w:before="60" w:after="60"/>
              <w:jc w:val="center"/>
              <w:rPr>
                <w:rFonts w:eastAsia="Times New Roman" w:cs="Calibri"/>
                <w:lang w:eastAsia="nl-BE"/>
              </w:rPr>
            </w:pPr>
            <w:r w:rsidRPr="007F0932">
              <w:t>12,8%</w:t>
            </w:r>
          </w:p>
        </w:tc>
        <w:tc>
          <w:tcPr>
            <w:tcW w:w="459" w:type="pct"/>
            <w:tcBorders>
              <w:top w:val="nil"/>
              <w:left w:val="nil"/>
              <w:bottom w:val="nil"/>
              <w:right w:val="nil"/>
            </w:tcBorders>
            <w:shd w:val="clear" w:color="auto" w:fill="auto"/>
            <w:hideMark/>
          </w:tcPr>
          <w:p w14:paraId="411BD4EE" w14:textId="77777777" w:rsidR="00923BED" w:rsidRPr="007F0932" w:rsidRDefault="00923BED">
            <w:pPr>
              <w:spacing w:before="60" w:after="60"/>
              <w:jc w:val="center"/>
              <w:rPr>
                <w:rFonts w:eastAsia="Times New Roman" w:cs="Calibri"/>
                <w:lang w:eastAsia="nl-BE"/>
              </w:rPr>
            </w:pPr>
            <w:r w:rsidRPr="007F0932">
              <w:t>12,6%</w:t>
            </w:r>
          </w:p>
        </w:tc>
        <w:tc>
          <w:tcPr>
            <w:tcW w:w="459" w:type="pct"/>
            <w:tcBorders>
              <w:top w:val="nil"/>
              <w:left w:val="nil"/>
              <w:bottom w:val="nil"/>
              <w:right w:val="nil"/>
            </w:tcBorders>
            <w:shd w:val="clear" w:color="000000" w:fill="F2F2F2"/>
            <w:hideMark/>
          </w:tcPr>
          <w:p w14:paraId="63C48633" w14:textId="77777777" w:rsidR="00923BED" w:rsidRPr="007F0932" w:rsidRDefault="00923BED">
            <w:pPr>
              <w:spacing w:before="60" w:after="60"/>
              <w:jc w:val="center"/>
              <w:rPr>
                <w:rFonts w:eastAsia="Times New Roman" w:cs="Calibri"/>
                <w:lang w:eastAsia="nl-BE"/>
              </w:rPr>
            </w:pPr>
            <w:r w:rsidRPr="007F0932">
              <w:t>12,5%</w:t>
            </w:r>
          </w:p>
        </w:tc>
        <w:tc>
          <w:tcPr>
            <w:tcW w:w="459" w:type="pct"/>
            <w:tcBorders>
              <w:top w:val="nil"/>
              <w:left w:val="nil"/>
              <w:bottom w:val="nil"/>
              <w:right w:val="nil"/>
            </w:tcBorders>
            <w:shd w:val="clear" w:color="000000" w:fill="F2F2F2"/>
            <w:hideMark/>
          </w:tcPr>
          <w:p w14:paraId="055D4745" w14:textId="77777777" w:rsidR="00923BED" w:rsidRPr="007F0932" w:rsidRDefault="00923BED">
            <w:pPr>
              <w:spacing w:before="60" w:after="60"/>
              <w:jc w:val="center"/>
              <w:rPr>
                <w:rFonts w:eastAsia="Times New Roman" w:cs="Calibri"/>
                <w:lang w:eastAsia="nl-BE"/>
              </w:rPr>
            </w:pPr>
            <w:r w:rsidRPr="007F0932">
              <w:t>11,8%</w:t>
            </w:r>
          </w:p>
        </w:tc>
        <w:tc>
          <w:tcPr>
            <w:tcW w:w="459" w:type="pct"/>
            <w:tcBorders>
              <w:top w:val="nil"/>
              <w:left w:val="nil"/>
              <w:bottom w:val="nil"/>
              <w:right w:val="nil"/>
            </w:tcBorders>
            <w:shd w:val="clear" w:color="000000" w:fill="F2F2F2"/>
            <w:hideMark/>
          </w:tcPr>
          <w:p w14:paraId="6683D564" w14:textId="77777777" w:rsidR="00923BED" w:rsidRPr="007F0932" w:rsidRDefault="00923BED">
            <w:pPr>
              <w:spacing w:before="60" w:after="60"/>
              <w:jc w:val="center"/>
              <w:rPr>
                <w:rFonts w:eastAsia="Times New Roman" w:cs="Calibri"/>
                <w:lang w:eastAsia="nl-BE"/>
              </w:rPr>
            </w:pPr>
            <w:r w:rsidRPr="007F0932">
              <w:t>13,8%</w:t>
            </w:r>
          </w:p>
        </w:tc>
        <w:tc>
          <w:tcPr>
            <w:tcW w:w="459" w:type="pct"/>
            <w:tcBorders>
              <w:top w:val="nil"/>
              <w:left w:val="nil"/>
              <w:bottom w:val="nil"/>
              <w:right w:val="nil"/>
            </w:tcBorders>
            <w:shd w:val="clear" w:color="000000" w:fill="F2F2F2"/>
          </w:tcPr>
          <w:p w14:paraId="6A9E476D" w14:textId="77777777" w:rsidR="00923BED" w:rsidRPr="007F0932" w:rsidRDefault="00923BED">
            <w:pPr>
              <w:spacing w:before="60" w:after="60"/>
              <w:jc w:val="center"/>
              <w:rPr>
                <w:rFonts w:eastAsia="Times New Roman" w:cs="Calibri"/>
                <w:lang w:eastAsia="nl-BE"/>
              </w:rPr>
            </w:pPr>
            <w:r w:rsidRPr="007F0932">
              <w:t>14,9%</w:t>
            </w:r>
          </w:p>
        </w:tc>
        <w:tc>
          <w:tcPr>
            <w:tcW w:w="460" w:type="pct"/>
            <w:tcBorders>
              <w:top w:val="nil"/>
              <w:left w:val="nil"/>
              <w:bottom w:val="nil"/>
              <w:right w:val="nil"/>
            </w:tcBorders>
            <w:shd w:val="clear" w:color="000000" w:fill="F2F2F2"/>
          </w:tcPr>
          <w:p w14:paraId="5527023A" w14:textId="77777777" w:rsidR="00923BED" w:rsidRPr="007F0932" w:rsidRDefault="00923BED">
            <w:pPr>
              <w:spacing w:before="60" w:after="60"/>
              <w:jc w:val="center"/>
              <w:rPr>
                <w:rFonts w:cs="Calibri"/>
              </w:rPr>
            </w:pPr>
            <w:r w:rsidRPr="007F0932">
              <w:t>16,4%</w:t>
            </w:r>
          </w:p>
        </w:tc>
      </w:tr>
      <w:tr w:rsidR="00923BED" w:rsidRPr="00894535" w14:paraId="3A041EB0" w14:textId="77777777" w:rsidTr="001703C6">
        <w:trPr>
          <w:trHeight w:val="20"/>
        </w:trPr>
        <w:tc>
          <w:tcPr>
            <w:tcW w:w="1326" w:type="pct"/>
            <w:tcBorders>
              <w:top w:val="nil"/>
              <w:left w:val="nil"/>
              <w:bottom w:val="single" w:sz="4" w:space="0" w:color="C00000"/>
              <w:right w:val="single" w:sz="8" w:space="0" w:color="auto"/>
            </w:tcBorders>
            <w:shd w:val="clear" w:color="auto" w:fill="auto"/>
            <w:noWrap/>
            <w:vAlign w:val="center"/>
            <w:hideMark/>
          </w:tcPr>
          <w:p w14:paraId="4E7EE371" w14:textId="77777777" w:rsidR="00923BED" w:rsidRPr="007F0932" w:rsidRDefault="00923BED">
            <w:pPr>
              <w:spacing w:before="60" w:after="60"/>
              <w:rPr>
                <w:rFonts w:eastAsia="Times New Roman" w:cs="Calibri"/>
                <w:color w:val="000000"/>
                <w:lang w:eastAsia="nl-BE"/>
              </w:rPr>
            </w:pPr>
            <w:r w:rsidRPr="007F0932">
              <w:rPr>
                <w:rFonts w:eastAsia="Times New Roman" w:cs="Calibri"/>
                <w:color w:val="000000"/>
                <w:lang w:eastAsia="nl-BE"/>
              </w:rPr>
              <w:t>Klein (20-49)</w:t>
            </w:r>
          </w:p>
        </w:tc>
        <w:tc>
          <w:tcPr>
            <w:tcW w:w="459" w:type="pct"/>
            <w:tcBorders>
              <w:top w:val="nil"/>
              <w:left w:val="nil"/>
              <w:bottom w:val="single" w:sz="4" w:space="0" w:color="C00000"/>
              <w:right w:val="nil"/>
            </w:tcBorders>
            <w:shd w:val="clear" w:color="auto" w:fill="auto"/>
            <w:hideMark/>
          </w:tcPr>
          <w:p w14:paraId="74E834DF" w14:textId="77777777" w:rsidR="00923BED" w:rsidRPr="007F0932" w:rsidRDefault="00923BED">
            <w:pPr>
              <w:spacing w:before="60" w:after="60"/>
              <w:jc w:val="center"/>
              <w:rPr>
                <w:rFonts w:eastAsia="Times New Roman" w:cs="Calibri"/>
                <w:lang w:eastAsia="nl-BE"/>
              </w:rPr>
            </w:pPr>
            <w:r w:rsidRPr="007F0932">
              <w:t>20,6%</w:t>
            </w:r>
          </w:p>
        </w:tc>
        <w:tc>
          <w:tcPr>
            <w:tcW w:w="459" w:type="pct"/>
            <w:tcBorders>
              <w:top w:val="nil"/>
              <w:left w:val="nil"/>
              <w:bottom w:val="single" w:sz="4" w:space="0" w:color="C00000"/>
              <w:right w:val="nil"/>
            </w:tcBorders>
            <w:shd w:val="clear" w:color="auto" w:fill="auto"/>
            <w:hideMark/>
          </w:tcPr>
          <w:p w14:paraId="0B415284" w14:textId="77777777" w:rsidR="00923BED" w:rsidRPr="007F0932" w:rsidRDefault="00923BED">
            <w:pPr>
              <w:spacing w:before="60" w:after="60"/>
              <w:jc w:val="center"/>
              <w:rPr>
                <w:rFonts w:eastAsia="Times New Roman" w:cs="Calibri"/>
                <w:lang w:eastAsia="nl-BE"/>
              </w:rPr>
            </w:pPr>
            <w:r w:rsidRPr="007F0932">
              <w:t>16,9%</w:t>
            </w:r>
          </w:p>
        </w:tc>
        <w:tc>
          <w:tcPr>
            <w:tcW w:w="459" w:type="pct"/>
            <w:tcBorders>
              <w:top w:val="nil"/>
              <w:left w:val="nil"/>
              <w:bottom w:val="single" w:sz="4" w:space="0" w:color="C00000"/>
              <w:right w:val="nil"/>
            </w:tcBorders>
            <w:shd w:val="clear" w:color="auto" w:fill="auto"/>
            <w:hideMark/>
          </w:tcPr>
          <w:p w14:paraId="64073D09" w14:textId="77777777" w:rsidR="00923BED" w:rsidRPr="007F0932" w:rsidRDefault="00923BED">
            <w:pPr>
              <w:spacing w:before="60" w:after="60"/>
              <w:jc w:val="center"/>
              <w:rPr>
                <w:rFonts w:eastAsia="Times New Roman" w:cs="Calibri"/>
                <w:lang w:eastAsia="nl-BE"/>
              </w:rPr>
            </w:pPr>
            <w:r w:rsidRPr="007F0932">
              <w:t>17,4%</w:t>
            </w:r>
          </w:p>
        </w:tc>
        <w:tc>
          <w:tcPr>
            <w:tcW w:w="459" w:type="pct"/>
            <w:tcBorders>
              <w:top w:val="nil"/>
              <w:left w:val="nil"/>
              <w:bottom w:val="single" w:sz="4" w:space="0" w:color="C00000"/>
              <w:right w:val="nil"/>
            </w:tcBorders>
            <w:shd w:val="clear" w:color="000000" w:fill="F2F2F2"/>
            <w:hideMark/>
          </w:tcPr>
          <w:p w14:paraId="04BD6D1F" w14:textId="77777777" w:rsidR="00923BED" w:rsidRPr="007F0932" w:rsidRDefault="00923BED">
            <w:pPr>
              <w:spacing w:before="60" w:after="60"/>
              <w:jc w:val="center"/>
              <w:rPr>
                <w:rFonts w:eastAsia="Times New Roman" w:cs="Calibri"/>
                <w:lang w:eastAsia="nl-BE"/>
              </w:rPr>
            </w:pPr>
            <w:r w:rsidRPr="007F0932">
              <w:t>15,5%</w:t>
            </w:r>
          </w:p>
        </w:tc>
        <w:tc>
          <w:tcPr>
            <w:tcW w:w="459" w:type="pct"/>
            <w:tcBorders>
              <w:top w:val="nil"/>
              <w:left w:val="nil"/>
              <w:bottom w:val="single" w:sz="4" w:space="0" w:color="C00000"/>
              <w:right w:val="nil"/>
            </w:tcBorders>
            <w:shd w:val="clear" w:color="000000" w:fill="F2F2F2"/>
            <w:hideMark/>
          </w:tcPr>
          <w:p w14:paraId="720FF27C" w14:textId="77777777" w:rsidR="00923BED" w:rsidRPr="007F0932" w:rsidRDefault="00923BED">
            <w:pPr>
              <w:spacing w:before="60" w:after="60"/>
              <w:jc w:val="center"/>
              <w:rPr>
                <w:rFonts w:eastAsia="Times New Roman" w:cs="Calibri"/>
                <w:lang w:eastAsia="nl-BE"/>
              </w:rPr>
            </w:pPr>
            <w:r w:rsidRPr="007F0932">
              <w:t>15,3%</w:t>
            </w:r>
          </w:p>
        </w:tc>
        <w:tc>
          <w:tcPr>
            <w:tcW w:w="459" w:type="pct"/>
            <w:tcBorders>
              <w:top w:val="nil"/>
              <w:left w:val="nil"/>
              <w:bottom w:val="single" w:sz="4" w:space="0" w:color="C00000"/>
              <w:right w:val="nil"/>
            </w:tcBorders>
            <w:shd w:val="clear" w:color="000000" w:fill="F2F2F2"/>
            <w:hideMark/>
          </w:tcPr>
          <w:p w14:paraId="68D67009" w14:textId="77777777" w:rsidR="00923BED" w:rsidRPr="007F0932" w:rsidRDefault="00923BED">
            <w:pPr>
              <w:spacing w:before="60" w:after="60"/>
              <w:jc w:val="center"/>
              <w:rPr>
                <w:rFonts w:eastAsia="Times New Roman" w:cs="Calibri"/>
                <w:lang w:eastAsia="nl-BE"/>
              </w:rPr>
            </w:pPr>
            <w:r w:rsidRPr="007F0932">
              <w:t>14,0%</w:t>
            </w:r>
          </w:p>
        </w:tc>
        <w:tc>
          <w:tcPr>
            <w:tcW w:w="459" w:type="pct"/>
            <w:tcBorders>
              <w:top w:val="nil"/>
              <w:left w:val="nil"/>
              <w:bottom w:val="single" w:sz="4" w:space="0" w:color="C00000"/>
              <w:right w:val="nil"/>
            </w:tcBorders>
            <w:shd w:val="clear" w:color="000000" w:fill="F2F2F2"/>
          </w:tcPr>
          <w:p w14:paraId="0595062E" w14:textId="77777777" w:rsidR="00923BED" w:rsidRPr="007F0932" w:rsidRDefault="00923BED">
            <w:pPr>
              <w:spacing w:before="60" w:after="60"/>
              <w:jc w:val="center"/>
              <w:rPr>
                <w:rFonts w:eastAsia="Times New Roman" w:cs="Calibri"/>
                <w:lang w:eastAsia="nl-BE"/>
              </w:rPr>
            </w:pPr>
            <w:r w:rsidRPr="007F0932">
              <w:t>13,5%</w:t>
            </w:r>
          </w:p>
        </w:tc>
        <w:tc>
          <w:tcPr>
            <w:tcW w:w="460" w:type="pct"/>
            <w:tcBorders>
              <w:top w:val="nil"/>
              <w:left w:val="nil"/>
              <w:bottom w:val="single" w:sz="4" w:space="0" w:color="C00000"/>
              <w:right w:val="nil"/>
            </w:tcBorders>
            <w:shd w:val="clear" w:color="000000" w:fill="F2F2F2"/>
          </w:tcPr>
          <w:p w14:paraId="411ABE52" w14:textId="77777777" w:rsidR="00923BED" w:rsidRPr="007F0932" w:rsidRDefault="00923BED">
            <w:pPr>
              <w:spacing w:before="60" w:after="60"/>
              <w:jc w:val="center"/>
              <w:rPr>
                <w:rFonts w:cs="Calibri"/>
              </w:rPr>
            </w:pPr>
            <w:r w:rsidRPr="007F0932">
              <w:t>11,7%</w:t>
            </w:r>
          </w:p>
        </w:tc>
      </w:tr>
      <w:tr w:rsidR="00923BED" w:rsidRPr="00894535" w14:paraId="6BB841C1" w14:textId="77777777" w:rsidTr="001703C6">
        <w:trPr>
          <w:trHeight w:val="20"/>
        </w:trPr>
        <w:tc>
          <w:tcPr>
            <w:tcW w:w="1326" w:type="pct"/>
            <w:tcBorders>
              <w:top w:val="single" w:sz="4" w:space="0" w:color="C00000"/>
              <w:left w:val="single" w:sz="4" w:space="0" w:color="C00000"/>
              <w:bottom w:val="nil"/>
              <w:right w:val="single" w:sz="8" w:space="0" w:color="auto"/>
            </w:tcBorders>
            <w:shd w:val="clear" w:color="auto" w:fill="auto"/>
            <w:noWrap/>
            <w:vAlign w:val="center"/>
            <w:hideMark/>
          </w:tcPr>
          <w:p w14:paraId="4B1A2A0B" w14:textId="77777777" w:rsidR="00923BED" w:rsidRPr="007F0932" w:rsidRDefault="00923BED">
            <w:pPr>
              <w:spacing w:before="60" w:after="60"/>
              <w:rPr>
                <w:rFonts w:eastAsia="Times New Roman" w:cs="Calibri"/>
                <w:color w:val="000000"/>
                <w:lang w:eastAsia="nl-BE"/>
              </w:rPr>
            </w:pPr>
            <w:r w:rsidRPr="007F0932">
              <w:rPr>
                <w:rFonts w:eastAsia="Times New Roman" w:cs="Calibri"/>
                <w:color w:val="000000"/>
                <w:lang w:eastAsia="nl-BE"/>
              </w:rPr>
              <w:t>Middelgroot (50-249)</w:t>
            </w:r>
          </w:p>
        </w:tc>
        <w:tc>
          <w:tcPr>
            <w:tcW w:w="459" w:type="pct"/>
            <w:tcBorders>
              <w:top w:val="single" w:sz="4" w:space="0" w:color="C00000"/>
              <w:left w:val="nil"/>
              <w:bottom w:val="nil"/>
              <w:right w:val="nil"/>
            </w:tcBorders>
            <w:shd w:val="clear" w:color="auto" w:fill="auto"/>
            <w:hideMark/>
          </w:tcPr>
          <w:p w14:paraId="45CBB53F" w14:textId="77777777" w:rsidR="00923BED" w:rsidRPr="007F0932" w:rsidRDefault="00923BED">
            <w:pPr>
              <w:spacing w:before="60" w:after="60"/>
              <w:jc w:val="center"/>
              <w:rPr>
                <w:rFonts w:eastAsia="Times New Roman" w:cs="Calibri"/>
                <w:lang w:eastAsia="nl-BE"/>
              </w:rPr>
            </w:pPr>
            <w:r w:rsidRPr="007F0932">
              <w:t>20,9%</w:t>
            </w:r>
          </w:p>
        </w:tc>
        <w:tc>
          <w:tcPr>
            <w:tcW w:w="459" w:type="pct"/>
            <w:tcBorders>
              <w:top w:val="single" w:sz="4" w:space="0" w:color="C00000"/>
              <w:left w:val="nil"/>
              <w:bottom w:val="nil"/>
              <w:right w:val="nil"/>
            </w:tcBorders>
            <w:shd w:val="clear" w:color="auto" w:fill="auto"/>
            <w:hideMark/>
          </w:tcPr>
          <w:p w14:paraId="32F51624" w14:textId="77777777" w:rsidR="00923BED" w:rsidRPr="007F0932" w:rsidRDefault="00923BED">
            <w:pPr>
              <w:spacing w:before="60" w:after="60"/>
              <w:jc w:val="center"/>
              <w:rPr>
                <w:rFonts w:eastAsia="Times New Roman" w:cs="Calibri"/>
                <w:lang w:eastAsia="nl-BE"/>
              </w:rPr>
            </w:pPr>
            <w:r w:rsidRPr="007F0932">
              <w:t>23,4%</w:t>
            </w:r>
          </w:p>
        </w:tc>
        <w:tc>
          <w:tcPr>
            <w:tcW w:w="459" w:type="pct"/>
            <w:tcBorders>
              <w:top w:val="single" w:sz="4" w:space="0" w:color="C00000"/>
              <w:left w:val="nil"/>
              <w:bottom w:val="nil"/>
              <w:right w:val="nil"/>
            </w:tcBorders>
            <w:shd w:val="clear" w:color="auto" w:fill="auto"/>
            <w:hideMark/>
          </w:tcPr>
          <w:p w14:paraId="7F5F3E43" w14:textId="77777777" w:rsidR="00923BED" w:rsidRPr="007F0932" w:rsidRDefault="00923BED">
            <w:pPr>
              <w:spacing w:before="60" w:after="60"/>
              <w:jc w:val="center"/>
              <w:rPr>
                <w:rFonts w:eastAsia="Times New Roman" w:cs="Calibri"/>
                <w:lang w:eastAsia="nl-BE"/>
              </w:rPr>
            </w:pPr>
            <w:r w:rsidRPr="007F0932">
              <w:t>21,1%</w:t>
            </w:r>
          </w:p>
        </w:tc>
        <w:tc>
          <w:tcPr>
            <w:tcW w:w="459" w:type="pct"/>
            <w:tcBorders>
              <w:top w:val="single" w:sz="4" w:space="0" w:color="C00000"/>
              <w:left w:val="nil"/>
              <w:bottom w:val="nil"/>
              <w:right w:val="nil"/>
            </w:tcBorders>
            <w:shd w:val="clear" w:color="000000" w:fill="F2F2F2"/>
            <w:hideMark/>
          </w:tcPr>
          <w:p w14:paraId="03E492B8" w14:textId="77777777" w:rsidR="00923BED" w:rsidRPr="007F0932" w:rsidRDefault="00923BED">
            <w:pPr>
              <w:spacing w:before="60" w:after="60"/>
              <w:jc w:val="center"/>
              <w:rPr>
                <w:rFonts w:eastAsia="Times New Roman" w:cs="Calibri"/>
                <w:lang w:eastAsia="nl-BE"/>
              </w:rPr>
            </w:pPr>
            <w:r w:rsidRPr="007F0932">
              <w:t>23,9%</w:t>
            </w:r>
          </w:p>
        </w:tc>
        <w:tc>
          <w:tcPr>
            <w:tcW w:w="459" w:type="pct"/>
            <w:tcBorders>
              <w:top w:val="single" w:sz="4" w:space="0" w:color="C00000"/>
              <w:left w:val="nil"/>
              <w:bottom w:val="nil"/>
              <w:right w:val="nil"/>
            </w:tcBorders>
            <w:shd w:val="clear" w:color="000000" w:fill="F2F2F2"/>
            <w:hideMark/>
          </w:tcPr>
          <w:p w14:paraId="72DD526A" w14:textId="77777777" w:rsidR="00923BED" w:rsidRPr="007F0932" w:rsidRDefault="00923BED">
            <w:pPr>
              <w:spacing w:before="60" w:after="60"/>
              <w:jc w:val="center"/>
              <w:rPr>
                <w:rFonts w:eastAsia="Times New Roman" w:cs="Calibri"/>
                <w:lang w:eastAsia="nl-BE"/>
              </w:rPr>
            </w:pPr>
            <w:r w:rsidRPr="007F0932">
              <w:t>23,4%</w:t>
            </w:r>
          </w:p>
        </w:tc>
        <w:tc>
          <w:tcPr>
            <w:tcW w:w="459" w:type="pct"/>
            <w:tcBorders>
              <w:top w:val="single" w:sz="4" w:space="0" w:color="C00000"/>
              <w:left w:val="nil"/>
              <w:bottom w:val="nil"/>
              <w:right w:val="nil"/>
            </w:tcBorders>
            <w:shd w:val="clear" w:color="000000" w:fill="F2F2F2"/>
            <w:hideMark/>
          </w:tcPr>
          <w:p w14:paraId="2FAFA7D7" w14:textId="77777777" w:rsidR="00923BED" w:rsidRPr="007F0932" w:rsidRDefault="00923BED">
            <w:pPr>
              <w:spacing w:before="60" w:after="60"/>
              <w:jc w:val="center"/>
              <w:rPr>
                <w:rFonts w:eastAsia="Times New Roman" w:cs="Calibri"/>
                <w:lang w:eastAsia="nl-BE"/>
              </w:rPr>
            </w:pPr>
            <w:r w:rsidRPr="007F0932">
              <w:t>25,7%</w:t>
            </w:r>
          </w:p>
        </w:tc>
        <w:tc>
          <w:tcPr>
            <w:tcW w:w="459" w:type="pct"/>
            <w:tcBorders>
              <w:top w:val="single" w:sz="4" w:space="0" w:color="C00000"/>
              <w:left w:val="nil"/>
              <w:bottom w:val="nil"/>
            </w:tcBorders>
            <w:shd w:val="clear" w:color="000000" w:fill="F2F2F2"/>
          </w:tcPr>
          <w:p w14:paraId="00C6BC59" w14:textId="77777777" w:rsidR="00923BED" w:rsidRPr="007F0932" w:rsidRDefault="00923BED">
            <w:pPr>
              <w:spacing w:before="60" w:after="60"/>
              <w:jc w:val="center"/>
              <w:rPr>
                <w:rFonts w:eastAsia="Times New Roman" w:cs="Calibri"/>
                <w:lang w:eastAsia="nl-BE"/>
              </w:rPr>
            </w:pPr>
            <w:r w:rsidRPr="007F0932">
              <w:t>24,5%</w:t>
            </w:r>
          </w:p>
        </w:tc>
        <w:tc>
          <w:tcPr>
            <w:tcW w:w="460" w:type="pct"/>
            <w:tcBorders>
              <w:top w:val="single" w:sz="4" w:space="0" w:color="C00000"/>
              <w:bottom w:val="nil"/>
              <w:right w:val="single" w:sz="4" w:space="0" w:color="C00000"/>
            </w:tcBorders>
            <w:shd w:val="clear" w:color="000000" w:fill="F2F2F2"/>
          </w:tcPr>
          <w:p w14:paraId="6334629E" w14:textId="77777777" w:rsidR="00923BED" w:rsidRPr="007F0932" w:rsidRDefault="00923BED">
            <w:pPr>
              <w:spacing w:before="60" w:after="60"/>
              <w:jc w:val="center"/>
              <w:rPr>
                <w:rFonts w:cs="Calibri"/>
              </w:rPr>
            </w:pPr>
            <w:r w:rsidRPr="007F0932">
              <w:t>25,8%</w:t>
            </w:r>
          </w:p>
        </w:tc>
      </w:tr>
      <w:tr w:rsidR="00923BED" w:rsidRPr="00894535" w14:paraId="25B7B2EE" w14:textId="77777777" w:rsidTr="001703C6">
        <w:trPr>
          <w:trHeight w:val="20"/>
        </w:trPr>
        <w:tc>
          <w:tcPr>
            <w:tcW w:w="1326" w:type="pct"/>
            <w:tcBorders>
              <w:top w:val="nil"/>
              <w:left w:val="single" w:sz="4" w:space="0" w:color="C00000"/>
              <w:bottom w:val="single" w:sz="4" w:space="0" w:color="C00000"/>
              <w:right w:val="single" w:sz="8" w:space="0" w:color="auto"/>
            </w:tcBorders>
            <w:shd w:val="clear" w:color="auto" w:fill="auto"/>
            <w:noWrap/>
            <w:vAlign w:val="center"/>
            <w:hideMark/>
          </w:tcPr>
          <w:p w14:paraId="16BF862C" w14:textId="77777777" w:rsidR="00923BED" w:rsidRPr="007F0932" w:rsidRDefault="00923BED">
            <w:pPr>
              <w:spacing w:before="60" w:after="60"/>
              <w:rPr>
                <w:rFonts w:eastAsia="Times New Roman" w:cs="Calibri"/>
                <w:color w:val="000000"/>
                <w:lang w:eastAsia="nl-BE"/>
              </w:rPr>
            </w:pPr>
            <w:r w:rsidRPr="007F0932">
              <w:rPr>
                <w:rFonts w:eastAsia="Times New Roman" w:cs="Calibri"/>
                <w:color w:val="000000"/>
                <w:lang w:eastAsia="nl-BE"/>
              </w:rPr>
              <w:t>Groot (250-…)</w:t>
            </w:r>
          </w:p>
        </w:tc>
        <w:tc>
          <w:tcPr>
            <w:tcW w:w="459" w:type="pct"/>
            <w:tcBorders>
              <w:top w:val="nil"/>
              <w:left w:val="nil"/>
              <w:bottom w:val="single" w:sz="4" w:space="0" w:color="C00000"/>
              <w:right w:val="nil"/>
            </w:tcBorders>
            <w:shd w:val="clear" w:color="auto" w:fill="auto"/>
            <w:hideMark/>
          </w:tcPr>
          <w:p w14:paraId="4C8AFF9B" w14:textId="77777777" w:rsidR="00923BED" w:rsidRPr="007F0932" w:rsidRDefault="00923BED">
            <w:pPr>
              <w:spacing w:before="60" w:after="60"/>
              <w:jc w:val="center"/>
              <w:rPr>
                <w:rFonts w:eastAsia="Times New Roman" w:cs="Calibri"/>
                <w:lang w:eastAsia="nl-BE"/>
              </w:rPr>
            </w:pPr>
            <w:r w:rsidRPr="007F0932">
              <w:t>19,6%</w:t>
            </w:r>
          </w:p>
        </w:tc>
        <w:tc>
          <w:tcPr>
            <w:tcW w:w="459" w:type="pct"/>
            <w:tcBorders>
              <w:top w:val="nil"/>
              <w:left w:val="nil"/>
              <w:bottom w:val="single" w:sz="4" w:space="0" w:color="C00000"/>
              <w:right w:val="nil"/>
            </w:tcBorders>
            <w:shd w:val="clear" w:color="auto" w:fill="auto"/>
            <w:hideMark/>
          </w:tcPr>
          <w:p w14:paraId="0B7CAAF0" w14:textId="77777777" w:rsidR="00923BED" w:rsidRPr="007F0932" w:rsidRDefault="00923BED">
            <w:pPr>
              <w:spacing w:before="60" w:after="60"/>
              <w:jc w:val="center"/>
              <w:rPr>
                <w:rFonts w:eastAsia="Times New Roman" w:cs="Calibri"/>
                <w:lang w:eastAsia="nl-BE"/>
              </w:rPr>
            </w:pPr>
            <w:r w:rsidRPr="007F0932">
              <w:t>22,0%</w:t>
            </w:r>
          </w:p>
        </w:tc>
        <w:tc>
          <w:tcPr>
            <w:tcW w:w="459" w:type="pct"/>
            <w:tcBorders>
              <w:top w:val="nil"/>
              <w:left w:val="nil"/>
              <w:bottom w:val="single" w:sz="4" w:space="0" w:color="C00000"/>
              <w:right w:val="nil"/>
            </w:tcBorders>
            <w:shd w:val="clear" w:color="auto" w:fill="auto"/>
            <w:hideMark/>
          </w:tcPr>
          <w:p w14:paraId="48B6738E" w14:textId="77777777" w:rsidR="00923BED" w:rsidRPr="007F0932" w:rsidRDefault="00923BED">
            <w:pPr>
              <w:spacing w:before="60" w:after="60"/>
              <w:jc w:val="center"/>
              <w:rPr>
                <w:rFonts w:eastAsia="Times New Roman" w:cs="Calibri"/>
                <w:lang w:eastAsia="nl-BE"/>
              </w:rPr>
            </w:pPr>
            <w:r w:rsidRPr="007F0932">
              <w:t>22,3%</w:t>
            </w:r>
          </w:p>
        </w:tc>
        <w:tc>
          <w:tcPr>
            <w:tcW w:w="459" w:type="pct"/>
            <w:tcBorders>
              <w:top w:val="nil"/>
              <w:left w:val="nil"/>
              <w:bottom w:val="single" w:sz="4" w:space="0" w:color="C00000"/>
              <w:right w:val="nil"/>
            </w:tcBorders>
            <w:shd w:val="clear" w:color="000000" w:fill="F2F2F2"/>
            <w:hideMark/>
          </w:tcPr>
          <w:p w14:paraId="1A7BFB89" w14:textId="77777777" w:rsidR="00923BED" w:rsidRPr="007F0932" w:rsidRDefault="00923BED">
            <w:pPr>
              <w:spacing w:before="60" w:after="60"/>
              <w:jc w:val="center"/>
              <w:rPr>
                <w:rFonts w:eastAsia="Times New Roman" w:cs="Calibri"/>
                <w:lang w:eastAsia="nl-BE"/>
              </w:rPr>
            </w:pPr>
            <w:r w:rsidRPr="007F0932">
              <w:t>26,0%</w:t>
            </w:r>
          </w:p>
        </w:tc>
        <w:tc>
          <w:tcPr>
            <w:tcW w:w="459" w:type="pct"/>
            <w:tcBorders>
              <w:top w:val="nil"/>
              <w:left w:val="nil"/>
              <w:bottom w:val="single" w:sz="4" w:space="0" w:color="C00000"/>
              <w:right w:val="nil"/>
            </w:tcBorders>
            <w:shd w:val="clear" w:color="000000" w:fill="F2F2F2"/>
            <w:hideMark/>
          </w:tcPr>
          <w:p w14:paraId="216D6E4B" w14:textId="77777777" w:rsidR="00923BED" w:rsidRPr="007F0932" w:rsidRDefault="00923BED">
            <w:pPr>
              <w:spacing w:before="60" w:after="60"/>
              <w:jc w:val="center"/>
              <w:rPr>
                <w:rFonts w:eastAsia="Times New Roman" w:cs="Calibri"/>
                <w:lang w:eastAsia="nl-BE"/>
              </w:rPr>
            </w:pPr>
            <w:r w:rsidRPr="007F0932">
              <w:t>30,1%</w:t>
            </w:r>
          </w:p>
        </w:tc>
        <w:tc>
          <w:tcPr>
            <w:tcW w:w="459" w:type="pct"/>
            <w:tcBorders>
              <w:top w:val="nil"/>
              <w:left w:val="nil"/>
              <w:bottom w:val="single" w:sz="4" w:space="0" w:color="C00000"/>
              <w:right w:val="nil"/>
            </w:tcBorders>
            <w:shd w:val="clear" w:color="000000" w:fill="F2F2F2"/>
            <w:hideMark/>
          </w:tcPr>
          <w:p w14:paraId="7E2CFD92" w14:textId="77777777" w:rsidR="00923BED" w:rsidRPr="007F0932" w:rsidRDefault="00923BED">
            <w:pPr>
              <w:spacing w:before="60" w:after="60"/>
              <w:jc w:val="center"/>
              <w:rPr>
                <w:rFonts w:eastAsia="Times New Roman" w:cs="Calibri"/>
                <w:lang w:eastAsia="nl-BE"/>
              </w:rPr>
            </w:pPr>
            <w:r w:rsidRPr="007F0932">
              <w:t>25,9%</w:t>
            </w:r>
          </w:p>
        </w:tc>
        <w:tc>
          <w:tcPr>
            <w:tcW w:w="459" w:type="pct"/>
            <w:tcBorders>
              <w:top w:val="nil"/>
              <w:left w:val="nil"/>
              <w:bottom w:val="single" w:sz="4" w:space="0" w:color="C00000"/>
            </w:tcBorders>
            <w:shd w:val="clear" w:color="000000" w:fill="F2F2F2"/>
          </w:tcPr>
          <w:p w14:paraId="1F08D170" w14:textId="77777777" w:rsidR="00923BED" w:rsidRPr="007F0932" w:rsidRDefault="00923BED">
            <w:pPr>
              <w:spacing w:before="60" w:after="60"/>
              <w:jc w:val="center"/>
              <w:rPr>
                <w:rFonts w:eastAsia="Times New Roman" w:cs="Calibri"/>
                <w:lang w:eastAsia="nl-BE"/>
              </w:rPr>
            </w:pPr>
            <w:r w:rsidRPr="007F0932">
              <w:t>26,1%</w:t>
            </w:r>
          </w:p>
        </w:tc>
        <w:tc>
          <w:tcPr>
            <w:tcW w:w="460" w:type="pct"/>
            <w:tcBorders>
              <w:top w:val="nil"/>
              <w:bottom w:val="single" w:sz="4" w:space="0" w:color="C00000"/>
              <w:right w:val="single" w:sz="4" w:space="0" w:color="C00000"/>
            </w:tcBorders>
            <w:shd w:val="clear" w:color="000000" w:fill="F2F2F2"/>
          </w:tcPr>
          <w:p w14:paraId="305771DB" w14:textId="77777777" w:rsidR="00923BED" w:rsidRPr="007F0932" w:rsidRDefault="00923BED">
            <w:pPr>
              <w:spacing w:before="60" w:after="60"/>
              <w:jc w:val="center"/>
              <w:rPr>
                <w:rFonts w:cs="Calibri"/>
              </w:rPr>
            </w:pPr>
            <w:r w:rsidRPr="007F0932">
              <w:t>27,0%</w:t>
            </w:r>
          </w:p>
        </w:tc>
      </w:tr>
      <w:tr w:rsidR="00923BED" w:rsidRPr="00894535" w14:paraId="02BEE30B" w14:textId="77777777" w:rsidTr="001703C6">
        <w:trPr>
          <w:trHeight w:val="20"/>
        </w:trPr>
        <w:tc>
          <w:tcPr>
            <w:tcW w:w="1326" w:type="pct"/>
            <w:tcBorders>
              <w:top w:val="single" w:sz="4" w:space="0" w:color="C00000"/>
              <w:left w:val="nil"/>
              <w:bottom w:val="nil"/>
              <w:right w:val="single" w:sz="8" w:space="0" w:color="auto"/>
            </w:tcBorders>
            <w:shd w:val="clear" w:color="auto" w:fill="auto"/>
            <w:noWrap/>
            <w:vAlign w:val="center"/>
            <w:hideMark/>
          </w:tcPr>
          <w:p w14:paraId="13581C2C" w14:textId="77777777" w:rsidR="00923BED" w:rsidRPr="007F0932" w:rsidRDefault="00923BED">
            <w:pPr>
              <w:spacing w:before="60" w:after="60"/>
              <w:rPr>
                <w:rFonts w:eastAsia="Times New Roman" w:cs="Calibri"/>
                <w:color w:val="000000"/>
                <w:lang w:eastAsia="nl-BE"/>
              </w:rPr>
            </w:pPr>
            <w:r w:rsidRPr="007F0932">
              <w:rPr>
                <w:rFonts w:eastAsia="Times New Roman" w:cs="Calibri"/>
                <w:color w:val="000000"/>
                <w:lang w:eastAsia="nl-BE"/>
              </w:rPr>
              <w:t>Onbekend</w:t>
            </w:r>
          </w:p>
        </w:tc>
        <w:tc>
          <w:tcPr>
            <w:tcW w:w="459" w:type="pct"/>
            <w:tcBorders>
              <w:top w:val="single" w:sz="4" w:space="0" w:color="C00000"/>
              <w:left w:val="nil"/>
              <w:bottom w:val="nil"/>
              <w:right w:val="nil"/>
            </w:tcBorders>
            <w:shd w:val="clear" w:color="auto" w:fill="auto"/>
            <w:hideMark/>
          </w:tcPr>
          <w:p w14:paraId="363D70F1" w14:textId="77777777" w:rsidR="00923BED" w:rsidRPr="007F0932" w:rsidRDefault="00923BED">
            <w:pPr>
              <w:spacing w:before="60" w:after="60"/>
              <w:jc w:val="center"/>
              <w:rPr>
                <w:rFonts w:eastAsia="Times New Roman" w:cs="Calibri"/>
                <w:lang w:eastAsia="nl-BE"/>
              </w:rPr>
            </w:pPr>
            <w:r w:rsidRPr="007F0932">
              <w:t>1,2%</w:t>
            </w:r>
          </w:p>
        </w:tc>
        <w:tc>
          <w:tcPr>
            <w:tcW w:w="459" w:type="pct"/>
            <w:tcBorders>
              <w:top w:val="single" w:sz="4" w:space="0" w:color="C00000"/>
              <w:left w:val="nil"/>
              <w:bottom w:val="nil"/>
              <w:right w:val="nil"/>
            </w:tcBorders>
            <w:shd w:val="clear" w:color="auto" w:fill="auto"/>
            <w:hideMark/>
          </w:tcPr>
          <w:p w14:paraId="6E22A6CA" w14:textId="77777777" w:rsidR="00923BED" w:rsidRPr="007F0932" w:rsidRDefault="00923BED">
            <w:pPr>
              <w:spacing w:before="60" w:after="60"/>
              <w:jc w:val="center"/>
              <w:rPr>
                <w:rFonts w:eastAsia="Times New Roman" w:cs="Calibri"/>
                <w:lang w:eastAsia="nl-BE"/>
              </w:rPr>
            </w:pPr>
            <w:r w:rsidRPr="007F0932">
              <w:t>1,1%</w:t>
            </w:r>
          </w:p>
        </w:tc>
        <w:tc>
          <w:tcPr>
            <w:tcW w:w="459" w:type="pct"/>
            <w:tcBorders>
              <w:top w:val="single" w:sz="4" w:space="0" w:color="C00000"/>
              <w:left w:val="nil"/>
              <w:bottom w:val="nil"/>
              <w:right w:val="nil"/>
            </w:tcBorders>
            <w:shd w:val="clear" w:color="auto" w:fill="auto"/>
            <w:hideMark/>
          </w:tcPr>
          <w:p w14:paraId="42657A09" w14:textId="77777777" w:rsidR="00923BED" w:rsidRPr="007F0932" w:rsidRDefault="00923BED">
            <w:pPr>
              <w:spacing w:before="60" w:after="60"/>
              <w:jc w:val="center"/>
              <w:rPr>
                <w:rFonts w:eastAsia="Times New Roman" w:cs="Calibri"/>
                <w:lang w:eastAsia="nl-BE"/>
              </w:rPr>
            </w:pPr>
            <w:r w:rsidRPr="007F0932">
              <w:t>0,8%</w:t>
            </w:r>
          </w:p>
        </w:tc>
        <w:tc>
          <w:tcPr>
            <w:tcW w:w="459" w:type="pct"/>
            <w:tcBorders>
              <w:top w:val="single" w:sz="4" w:space="0" w:color="C00000"/>
              <w:left w:val="nil"/>
              <w:bottom w:val="nil"/>
              <w:right w:val="nil"/>
            </w:tcBorders>
            <w:shd w:val="clear" w:color="000000" w:fill="F2F2F2"/>
            <w:hideMark/>
          </w:tcPr>
          <w:p w14:paraId="4A077F6A" w14:textId="77777777" w:rsidR="00923BED" w:rsidRPr="007F0932" w:rsidRDefault="00923BED">
            <w:pPr>
              <w:spacing w:before="60" w:after="60"/>
              <w:jc w:val="center"/>
              <w:rPr>
                <w:rFonts w:eastAsia="Times New Roman" w:cs="Calibri"/>
                <w:lang w:eastAsia="nl-BE"/>
              </w:rPr>
            </w:pPr>
            <w:r w:rsidRPr="007F0932">
              <w:t>0,5%</w:t>
            </w:r>
          </w:p>
        </w:tc>
        <w:tc>
          <w:tcPr>
            <w:tcW w:w="459" w:type="pct"/>
            <w:tcBorders>
              <w:top w:val="single" w:sz="4" w:space="0" w:color="C00000"/>
              <w:left w:val="nil"/>
              <w:bottom w:val="nil"/>
              <w:right w:val="nil"/>
            </w:tcBorders>
            <w:shd w:val="clear" w:color="000000" w:fill="F2F2F2"/>
            <w:hideMark/>
          </w:tcPr>
          <w:p w14:paraId="1CAFDEAD" w14:textId="77777777" w:rsidR="00923BED" w:rsidRPr="007F0932" w:rsidRDefault="00923BED">
            <w:pPr>
              <w:spacing w:before="60" w:after="60"/>
              <w:jc w:val="center"/>
              <w:rPr>
                <w:rFonts w:eastAsia="Times New Roman" w:cs="Calibri"/>
                <w:lang w:eastAsia="nl-BE"/>
              </w:rPr>
            </w:pPr>
            <w:r w:rsidRPr="007F0932">
              <w:t>0,5%</w:t>
            </w:r>
          </w:p>
        </w:tc>
        <w:tc>
          <w:tcPr>
            <w:tcW w:w="459" w:type="pct"/>
            <w:tcBorders>
              <w:top w:val="single" w:sz="4" w:space="0" w:color="C00000"/>
              <w:left w:val="nil"/>
              <w:bottom w:val="nil"/>
              <w:right w:val="nil"/>
            </w:tcBorders>
            <w:shd w:val="clear" w:color="000000" w:fill="F2F2F2"/>
            <w:hideMark/>
          </w:tcPr>
          <w:p w14:paraId="21FE4C2C" w14:textId="77777777" w:rsidR="00923BED" w:rsidRPr="007F0932" w:rsidRDefault="00923BED">
            <w:pPr>
              <w:spacing w:before="60" w:after="60"/>
              <w:jc w:val="center"/>
              <w:rPr>
                <w:rFonts w:eastAsia="Times New Roman" w:cs="Calibri"/>
                <w:lang w:eastAsia="nl-BE"/>
              </w:rPr>
            </w:pPr>
            <w:r w:rsidRPr="007F0932">
              <w:t>0,3%</w:t>
            </w:r>
          </w:p>
        </w:tc>
        <w:tc>
          <w:tcPr>
            <w:tcW w:w="459" w:type="pct"/>
            <w:tcBorders>
              <w:top w:val="single" w:sz="4" w:space="0" w:color="C00000"/>
              <w:left w:val="nil"/>
              <w:bottom w:val="nil"/>
              <w:right w:val="nil"/>
            </w:tcBorders>
            <w:shd w:val="clear" w:color="000000" w:fill="F2F2F2"/>
          </w:tcPr>
          <w:p w14:paraId="33BCE5BD" w14:textId="77777777" w:rsidR="00923BED" w:rsidRPr="007F0932" w:rsidRDefault="00923BED">
            <w:pPr>
              <w:spacing w:before="60" w:after="60"/>
              <w:jc w:val="center"/>
              <w:rPr>
                <w:rFonts w:eastAsia="Times New Roman" w:cs="Calibri"/>
                <w:lang w:eastAsia="nl-BE"/>
              </w:rPr>
            </w:pPr>
            <w:r w:rsidRPr="007F0932">
              <w:t>0,6%</w:t>
            </w:r>
          </w:p>
        </w:tc>
        <w:tc>
          <w:tcPr>
            <w:tcW w:w="460" w:type="pct"/>
            <w:tcBorders>
              <w:top w:val="single" w:sz="4" w:space="0" w:color="C00000"/>
              <w:left w:val="nil"/>
              <w:bottom w:val="nil"/>
              <w:right w:val="nil"/>
            </w:tcBorders>
            <w:shd w:val="clear" w:color="000000" w:fill="F2F2F2"/>
          </w:tcPr>
          <w:p w14:paraId="70C64E83" w14:textId="77777777" w:rsidR="00923BED" w:rsidRPr="007F0932" w:rsidRDefault="00923BED">
            <w:pPr>
              <w:spacing w:before="60" w:after="60"/>
              <w:jc w:val="center"/>
              <w:rPr>
                <w:rFonts w:cs="Calibri"/>
              </w:rPr>
            </w:pPr>
            <w:r w:rsidRPr="007F0932">
              <w:t>0,6%</w:t>
            </w:r>
          </w:p>
        </w:tc>
      </w:tr>
      <w:tr w:rsidR="00923BED" w:rsidRPr="005506B2" w14:paraId="123595FC" w14:textId="77777777" w:rsidTr="001703C6">
        <w:trPr>
          <w:trHeight w:val="20"/>
        </w:trPr>
        <w:tc>
          <w:tcPr>
            <w:tcW w:w="1326"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7018BC63" w14:textId="77777777" w:rsidR="00923BED" w:rsidRPr="007F0932" w:rsidRDefault="00923BED">
            <w:pPr>
              <w:spacing w:before="60" w:after="60"/>
              <w:rPr>
                <w:rFonts w:eastAsia="Times New Roman" w:cs="Calibri"/>
                <w:b/>
                <w:bCs/>
                <w:color w:val="000000"/>
                <w:lang w:eastAsia="nl-BE"/>
              </w:rPr>
            </w:pPr>
            <w:r w:rsidRPr="007F0932">
              <w:rPr>
                <w:rFonts w:eastAsia="Times New Roman" w:cs="Calibri"/>
                <w:b/>
                <w:bCs/>
                <w:color w:val="000000"/>
                <w:lang w:eastAsia="nl-BE"/>
              </w:rPr>
              <w:t>Totaal (in percentage)</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0000264B" w14:textId="77777777" w:rsidR="00923BED" w:rsidRPr="007F0932" w:rsidRDefault="00923BED">
            <w:pPr>
              <w:spacing w:before="60" w:after="60"/>
              <w:rPr>
                <w:rFonts w:eastAsia="Times New Roman" w:cs="Calibri"/>
                <w:b/>
                <w:bCs/>
                <w:color w:val="000000"/>
                <w:sz w:val="19"/>
                <w:szCs w:val="19"/>
                <w:lang w:eastAsia="nl-BE"/>
              </w:rPr>
            </w:pPr>
            <w:r w:rsidRPr="007F0932">
              <w:rPr>
                <w:b/>
                <w:bCs/>
                <w:sz w:val="19"/>
                <w:szCs w:val="19"/>
              </w:rPr>
              <w:t>100,0%</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20C9CD43" w14:textId="77777777" w:rsidR="00923BED" w:rsidRPr="007F0932" w:rsidRDefault="00923BED">
            <w:pPr>
              <w:spacing w:before="60" w:after="60"/>
              <w:jc w:val="center"/>
              <w:rPr>
                <w:rFonts w:eastAsia="Times New Roman" w:cs="Calibri"/>
                <w:b/>
                <w:bCs/>
                <w:color w:val="000000"/>
                <w:sz w:val="19"/>
                <w:szCs w:val="19"/>
                <w:lang w:eastAsia="nl-BE"/>
              </w:rPr>
            </w:pPr>
            <w:r w:rsidRPr="007F0932">
              <w:rPr>
                <w:b/>
                <w:bCs/>
                <w:sz w:val="19"/>
                <w:szCs w:val="19"/>
              </w:rPr>
              <w:t>100,0%</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78D437CA" w14:textId="77777777" w:rsidR="00923BED" w:rsidRPr="007F0932" w:rsidRDefault="00923BED">
            <w:pPr>
              <w:spacing w:before="60" w:after="60"/>
              <w:jc w:val="center"/>
              <w:rPr>
                <w:rFonts w:eastAsia="Times New Roman" w:cs="Calibri"/>
                <w:b/>
                <w:bCs/>
                <w:color w:val="000000"/>
                <w:sz w:val="19"/>
                <w:szCs w:val="19"/>
                <w:lang w:eastAsia="nl-BE"/>
              </w:rPr>
            </w:pPr>
            <w:r w:rsidRPr="007F0932">
              <w:rPr>
                <w:b/>
                <w:bCs/>
                <w:sz w:val="19"/>
                <w:szCs w:val="19"/>
              </w:rPr>
              <w:t>100,0%</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006D2DB5" w14:textId="77777777" w:rsidR="00923BED" w:rsidRPr="007F0932" w:rsidRDefault="00923BED">
            <w:pPr>
              <w:spacing w:before="60" w:after="60"/>
              <w:jc w:val="center"/>
              <w:rPr>
                <w:rFonts w:eastAsia="Times New Roman" w:cs="Calibri"/>
                <w:b/>
                <w:bCs/>
                <w:color w:val="000000"/>
                <w:sz w:val="19"/>
                <w:szCs w:val="19"/>
                <w:lang w:eastAsia="nl-BE"/>
              </w:rPr>
            </w:pPr>
            <w:r w:rsidRPr="007F0932">
              <w:rPr>
                <w:b/>
                <w:bCs/>
                <w:sz w:val="19"/>
                <w:szCs w:val="19"/>
              </w:rPr>
              <w:t>100,0%</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777F2CD3" w14:textId="77777777" w:rsidR="00923BED" w:rsidRPr="007F0932" w:rsidRDefault="00923BED">
            <w:pPr>
              <w:spacing w:before="60" w:after="60"/>
              <w:jc w:val="center"/>
              <w:rPr>
                <w:rFonts w:eastAsia="Times New Roman" w:cs="Calibri"/>
                <w:b/>
                <w:bCs/>
                <w:color w:val="000000"/>
                <w:sz w:val="19"/>
                <w:szCs w:val="19"/>
                <w:lang w:eastAsia="nl-BE"/>
              </w:rPr>
            </w:pPr>
            <w:r w:rsidRPr="007F0932">
              <w:rPr>
                <w:b/>
                <w:bCs/>
                <w:sz w:val="19"/>
                <w:szCs w:val="19"/>
              </w:rPr>
              <w:t>100,0%</w:t>
            </w:r>
          </w:p>
        </w:tc>
        <w:tc>
          <w:tcPr>
            <w:tcW w:w="459" w:type="pct"/>
            <w:tcBorders>
              <w:top w:val="single" w:sz="4" w:space="0" w:color="auto"/>
              <w:left w:val="nil"/>
              <w:bottom w:val="single" w:sz="4" w:space="0" w:color="auto"/>
              <w:right w:val="nil"/>
            </w:tcBorders>
            <w:shd w:val="clear" w:color="auto" w:fill="D9D9D9" w:themeFill="background1" w:themeFillShade="D9"/>
            <w:hideMark/>
          </w:tcPr>
          <w:p w14:paraId="64E7A412" w14:textId="77777777" w:rsidR="00923BED" w:rsidRPr="007F0932" w:rsidRDefault="00923BED">
            <w:pPr>
              <w:spacing w:before="60" w:after="60"/>
              <w:jc w:val="center"/>
              <w:rPr>
                <w:rFonts w:eastAsia="Times New Roman" w:cs="Calibri"/>
                <w:b/>
                <w:bCs/>
                <w:color w:val="000000"/>
                <w:sz w:val="19"/>
                <w:szCs w:val="19"/>
                <w:lang w:eastAsia="nl-BE"/>
              </w:rPr>
            </w:pPr>
            <w:r w:rsidRPr="007F0932">
              <w:rPr>
                <w:b/>
                <w:bCs/>
                <w:sz w:val="19"/>
                <w:szCs w:val="19"/>
              </w:rPr>
              <w:t>100,0%</w:t>
            </w:r>
          </w:p>
        </w:tc>
        <w:tc>
          <w:tcPr>
            <w:tcW w:w="459" w:type="pct"/>
            <w:tcBorders>
              <w:top w:val="single" w:sz="4" w:space="0" w:color="auto"/>
              <w:left w:val="nil"/>
              <w:bottom w:val="single" w:sz="4" w:space="0" w:color="auto"/>
              <w:right w:val="nil"/>
            </w:tcBorders>
            <w:shd w:val="clear" w:color="auto" w:fill="D9D9D9" w:themeFill="background1" w:themeFillShade="D9"/>
          </w:tcPr>
          <w:p w14:paraId="258E30DD" w14:textId="77777777" w:rsidR="00923BED" w:rsidRPr="007F0932" w:rsidRDefault="00923BED">
            <w:pPr>
              <w:spacing w:before="60" w:after="60"/>
              <w:jc w:val="center"/>
              <w:rPr>
                <w:rFonts w:eastAsia="Times New Roman" w:cs="Calibri"/>
                <w:b/>
                <w:bCs/>
                <w:color w:val="000000"/>
                <w:sz w:val="19"/>
                <w:szCs w:val="19"/>
                <w:lang w:eastAsia="nl-BE"/>
              </w:rPr>
            </w:pPr>
            <w:r w:rsidRPr="007F0932">
              <w:rPr>
                <w:b/>
                <w:bCs/>
                <w:sz w:val="19"/>
                <w:szCs w:val="19"/>
              </w:rPr>
              <w:t>100,0%</w:t>
            </w:r>
          </w:p>
        </w:tc>
        <w:tc>
          <w:tcPr>
            <w:tcW w:w="460" w:type="pct"/>
            <w:tcBorders>
              <w:top w:val="single" w:sz="4" w:space="0" w:color="auto"/>
              <w:left w:val="nil"/>
              <w:bottom w:val="single" w:sz="4" w:space="0" w:color="auto"/>
              <w:right w:val="nil"/>
            </w:tcBorders>
            <w:shd w:val="clear" w:color="auto" w:fill="D9D9D9" w:themeFill="background1" w:themeFillShade="D9"/>
          </w:tcPr>
          <w:p w14:paraId="5AF55E75" w14:textId="77777777" w:rsidR="00923BED" w:rsidRPr="007F0932" w:rsidRDefault="00923BED">
            <w:pPr>
              <w:spacing w:before="60" w:after="60"/>
              <w:jc w:val="center"/>
              <w:rPr>
                <w:rFonts w:eastAsia="Times New Roman" w:cs="Calibri"/>
                <w:b/>
                <w:bCs/>
                <w:color w:val="000000"/>
                <w:sz w:val="19"/>
                <w:szCs w:val="19"/>
                <w:lang w:eastAsia="nl-BE"/>
              </w:rPr>
            </w:pPr>
            <w:r w:rsidRPr="007F0932">
              <w:rPr>
                <w:b/>
                <w:bCs/>
                <w:sz w:val="19"/>
                <w:szCs w:val="19"/>
              </w:rPr>
              <w:t>100,0%</w:t>
            </w:r>
          </w:p>
        </w:tc>
      </w:tr>
      <w:tr w:rsidR="00923BED" w:rsidRPr="005506B2" w14:paraId="55EE8681" w14:textId="77777777" w:rsidTr="001703C6">
        <w:trPr>
          <w:trHeight w:val="20"/>
        </w:trPr>
        <w:tc>
          <w:tcPr>
            <w:tcW w:w="1326" w:type="pct"/>
            <w:tcBorders>
              <w:top w:val="single" w:sz="4" w:space="0" w:color="auto"/>
              <w:left w:val="nil"/>
              <w:bottom w:val="nil"/>
              <w:right w:val="single" w:sz="8" w:space="0" w:color="auto"/>
            </w:tcBorders>
            <w:shd w:val="clear" w:color="auto" w:fill="D9D9D9" w:themeFill="background1" w:themeFillShade="D9"/>
            <w:noWrap/>
            <w:vAlign w:val="center"/>
          </w:tcPr>
          <w:p w14:paraId="2CC7921B" w14:textId="77777777" w:rsidR="00923BED" w:rsidRPr="007F0932" w:rsidRDefault="00923BED">
            <w:pPr>
              <w:spacing w:before="60" w:after="60"/>
              <w:rPr>
                <w:rFonts w:eastAsia="Times New Roman" w:cs="Calibri"/>
                <w:b/>
                <w:bCs/>
                <w:color w:val="000000"/>
                <w:lang w:eastAsia="nl-BE"/>
              </w:rPr>
            </w:pPr>
            <w:r w:rsidRPr="007F0932">
              <w:rPr>
                <w:rFonts w:eastAsia="Times New Roman" w:cs="Calibri"/>
                <w:b/>
                <w:bCs/>
                <w:color w:val="000000"/>
                <w:lang w:eastAsia="nl-BE"/>
              </w:rPr>
              <w:t>Totaal (in aantal)</w:t>
            </w:r>
          </w:p>
        </w:tc>
        <w:tc>
          <w:tcPr>
            <w:tcW w:w="459" w:type="pct"/>
            <w:tcBorders>
              <w:top w:val="single" w:sz="4" w:space="0" w:color="auto"/>
              <w:left w:val="nil"/>
              <w:bottom w:val="nil"/>
              <w:right w:val="nil"/>
            </w:tcBorders>
            <w:shd w:val="clear" w:color="auto" w:fill="D9D9D9" w:themeFill="background1" w:themeFillShade="D9"/>
          </w:tcPr>
          <w:p w14:paraId="7F3CDA11" w14:textId="77777777" w:rsidR="00923BED" w:rsidRPr="007F0932" w:rsidRDefault="00923BED">
            <w:pPr>
              <w:spacing w:before="60" w:after="60"/>
              <w:jc w:val="center"/>
              <w:rPr>
                <w:rFonts w:eastAsia="Times New Roman" w:cs="Calibri"/>
                <w:b/>
                <w:bCs/>
                <w:color w:val="000000"/>
                <w:lang w:eastAsia="nl-BE"/>
              </w:rPr>
            </w:pPr>
            <w:r w:rsidRPr="007F0932">
              <w:rPr>
                <w:b/>
                <w:bCs/>
              </w:rPr>
              <w:t>3.255</w:t>
            </w:r>
          </w:p>
        </w:tc>
        <w:tc>
          <w:tcPr>
            <w:tcW w:w="459" w:type="pct"/>
            <w:tcBorders>
              <w:top w:val="single" w:sz="4" w:space="0" w:color="auto"/>
              <w:left w:val="nil"/>
              <w:bottom w:val="nil"/>
              <w:right w:val="nil"/>
            </w:tcBorders>
            <w:shd w:val="clear" w:color="auto" w:fill="D9D9D9" w:themeFill="background1" w:themeFillShade="D9"/>
          </w:tcPr>
          <w:p w14:paraId="5C86AA39" w14:textId="77777777" w:rsidR="00923BED" w:rsidRPr="007F0932" w:rsidRDefault="00923BED">
            <w:pPr>
              <w:spacing w:before="60" w:after="60"/>
              <w:jc w:val="center"/>
              <w:rPr>
                <w:rFonts w:eastAsia="Times New Roman" w:cs="Calibri"/>
                <w:b/>
                <w:bCs/>
                <w:color w:val="000000"/>
                <w:lang w:eastAsia="nl-BE"/>
              </w:rPr>
            </w:pPr>
            <w:r w:rsidRPr="007F0932">
              <w:rPr>
                <w:b/>
                <w:bCs/>
              </w:rPr>
              <w:t>3.998</w:t>
            </w:r>
          </w:p>
        </w:tc>
        <w:tc>
          <w:tcPr>
            <w:tcW w:w="459" w:type="pct"/>
            <w:tcBorders>
              <w:top w:val="single" w:sz="4" w:space="0" w:color="auto"/>
              <w:left w:val="nil"/>
              <w:bottom w:val="nil"/>
              <w:right w:val="nil"/>
            </w:tcBorders>
            <w:shd w:val="clear" w:color="auto" w:fill="D9D9D9" w:themeFill="background1" w:themeFillShade="D9"/>
          </w:tcPr>
          <w:p w14:paraId="353D23DA" w14:textId="77777777" w:rsidR="00923BED" w:rsidRPr="007F0932" w:rsidRDefault="00923BED">
            <w:pPr>
              <w:spacing w:before="60" w:after="60"/>
              <w:jc w:val="center"/>
              <w:rPr>
                <w:rFonts w:eastAsia="Times New Roman" w:cs="Calibri"/>
                <w:b/>
                <w:bCs/>
                <w:color w:val="000000"/>
                <w:lang w:eastAsia="nl-BE"/>
              </w:rPr>
            </w:pPr>
            <w:r w:rsidRPr="007F0932">
              <w:rPr>
                <w:b/>
                <w:bCs/>
              </w:rPr>
              <w:t>4.102</w:t>
            </w:r>
          </w:p>
        </w:tc>
        <w:tc>
          <w:tcPr>
            <w:tcW w:w="459" w:type="pct"/>
            <w:tcBorders>
              <w:top w:val="single" w:sz="4" w:space="0" w:color="auto"/>
              <w:left w:val="nil"/>
              <w:bottom w:val="nil"/>
              <w:right w:val="nil"/>
            </w:tcBorders>
            <w:shd w:val="clear" w:color="auto" w:fill="D9D9D9" w:themeFill="background1" w:themeFillShade="D9"/>
          </w:tcPr>
          <w:p w14:paraId="05951F31" w14:textId="77777777" w:rsidR="00923BED" w:rsidRPr="007F0932" w:rsidRDefault="00923BED">
            <w:pPr>
              <w:spacing w:before="60" w:after="60"/>
              <w:jc w:val="center"/>
              <w:rPr>
                <w:rFonts w:eastAsia="Times New Roman" w:cs="Calibri"/>
                <w:b/>
                <w:bCs/>
                <w:color w:val="000000"/>
                <w:lang w:eastAsia="nl-BE"/>
              </w:rPr>
            </w:pPr>
            <w:r w:rsidRPr="007F0932">
              <w:rPr>
                <w:b/>
                <w:bCs/>
              </w:rPr>
              <w:t>4.413</w:t>
            </w:r>
          </w:p>
        </w:tc>
        <w:tc>
          <w:tcPr>
            <w:tcW w:w="459" w:type="pct"/>
            <w:tcBorders>
              <w:top w:val="single" w:sz="4" w:space="0" w:color="auto"/>
              <w:left w:val="nil"/>
              <w:bottom w:val="nil"/>
              <w:right w:val="nil"/>
            </w:tcBorders>
            <w:shd w:val="clear" w:color="auto" w:fill="D9D9D9" w:themeFill="background1" w:themeFillShade="D9"/>
          </w:tcPr>
          <w:p w14:paraId="44DA48BB" w14:textId="77777777" w:rsidR="00923BED" w:rsidRPr="007F0932" w:rsidRDefault="00923BED">
            <w:pPr>
              <w:spacing w:before="60" w:after="60"/>
              <w:jc w:val="center"/>
              <w:rPr>
                <w:rFonts w:eastAsia="Times New Roman" w:cs="Calibri"/>
                <w:b/>
                <w:bCs/>
                <w:color w:val="000000"/>
                <w:lang w:eastAsia="nl-BE"/>
              </w:rPr>
            </w:pPr>
            <w:r w:rsidRPr="007F0932">
              <w:rPr>
                <w:b/>
                <w:bCs/>
              </w:rPr>
              <w:t>5.623</w:t>
            </w:r>
          </w:p>
        </w:tc>
        <w:tc>
          <w:tcPr>
            <w:tcW w:w="459" w:type="pct"/>
            <w:tcBorders>
              <w:top w:val="single" w:sz="4" w:space="0" w:color="auto"/>
              <w:left w:val="nil"/>
              <w:bottom w:val="nil"/>
              <w:right w:val="nil"/>
            </w:tcBorders>
            <w:shd w:val="clear" w:color="auto" w:fill="D9D9D9" w:themeFill="background1" w:themeFillShade="D9"/>
          </w:tcPr>
          <w:p w14:paraId="0525150A" w14:textId="77777777" w:rsidR="00923BED" w:rsidRPr="007F0932" w:rsidRDefault="00923BED">
            <w:pPr>
              <w:spacing w:before="60" w:after="60"/>
              <w:jc w:val="center"/>
              <w:rPr>
                <w:rFonts w:eastAsia="Times New Roman" w:cs="Calibri"/>
                <w:b/>
                <w:bCs/>
                <w:color w:val="000000"/>
                <w:lang w:eastAsia="nl-BE"/>
              </w:rPr>
            </w:pPr>
            <w:r w:rsidRPr="007F0932">
              <w:rPr>
                <w:b/>
                <w:bCs/>
              </w:rPr>
              <w:t>6.676</w:t>
            </w:r>
          </w:p>
        </w:tc>
        <w:tc>
          <w:tcPr>
            <w:tcW w:w="459" w:type="pct"/>
            <w:tcBorders>
              <w:top w:val="single" w:sz="4" w:space="0" w:color="auto"/>
              <w:left w:val="nil"/>
              <w:bottom w:val="nil"/>
            </w:tcBorders>
            <w:shd w:val="clear" w:color="auto" w:fill="D9D9D9" w:themeFill="background1" w:themeFillShade="D9"/>
          </w:tcPr>
          <w:p w14:paraId="7AA4D1B5" w14:textId="77777777" w:rsidR="00923BED" w:rsidRPr="007F0932" w:rsidRDefault="00923BED">
            <w:pPr>
              <w:spacing w:before="60" w:after="60"/>
              <w:jc w:val="center"/>
              <w:rPr>
                <w:rFonts w:eastAsia="Times New Roman" w:cs="Calibri"/>
                <w:b/>
                <w:bCs/>
                <w:color w:val="000000"/>
                <w:lang w:eastAsia="nl-BE"/>
              </w:rPr>
            </w:pPr>
            <w:r w:rsidRPr="007F0932">
              <w:rPr>
                <w:b/>
                <w:bCs/>
              </w:rPr>
              <w:t>5.693</w:t>
            </w:r>
          </w:p>
        </w:tc>
        <w:tc>
          <w:tcPr>
            <w:tcW w:w="460" w:type="pct"/>
            <w:tcBorders>
              <w:top w:val="single" w:sz="4" w:space="0" w:color="auto"/>
              <w:left w:val="nil"/>
              <w:bottom w:val="nil"/>
            </w:tcBorders>
            <w:shd w:val="clear" w:color="auto" w:fill="D9D9D9" w:themeFill="background1" w:themeFillShade="D9"/>
          </w:tcPr>
          <w:p w14:paraId="200E0BFC" w14:textId="77777777" w:rsidR="00923BED" w:rsidRPr="007F0932" w:rsidRDefault="00923BED">
            <w:pPr>
              <w:spacing w:before="60" w:after="60"/>
              <w:jc w:val="center"/>
              <w:rPr>
                <w:rFonts w:cs="Calibri"/>
                <w:b/>
                <w:bCs/>
              </w:rPr>
            </w:pPr>
            <w:r w:rsidRPr="007F0932">
              <w:rPr>
                <w:b/>
                <w:bCs/>
              </w:rPr>
              <w:t>5.160</w:t>
            </w:r>
          </w:p>
        </w:tc>
      </w:tr>
    </w:tbl>
    <w:p w14:paraId="0F0B72C0" w14:textId="17B270E1" w:rsidR="005372DC" w:rsidRDefault="005372DC" w:rsidP="005372DC">
      <w:pPr>
        <w:pStyle w:val="Source"/>
        <w:jc w:val="both"/>
        <w:rPr>
          <w:lang w:eastAsia="nl-BE"/>
        </w:rPr>
      </w:pPr>
      <w:r w:rsidRPr="007E0AF9">
        <w:rPr>
          <w:lang w:eastAsia="nl-BE"/>
        </w:rPr>
        <w:t>Bron: Statbel (A.D. Statistiek – Statistics Belgium) &amp; de FOD BOSA – Berekeningen: het Kmo-observatorium</w:t>
      </w:r>
    </w:p>
    <w:p w14:paraId="236C590D" w14:textId="3F2530A0" w:rsidR="008D225F" w:rsidRDefault="008D225F" w:rsidP="008D225F">
      <w:pPr>
        <w:pStyle w:val="Graphic-H1"/>
        <w:jc w:val="both"/>
      </w:pPr>
      <w:bookmarkStart w:id="246" w:name="_Toc88842150"/>
      <w:r w:rsidRPr="00541E1D">
        <w:lastRenderedPageBreak/>
        <w:t xml:space="preserve">Grafiek </w:t>
      </w:r>
      <w:r>
        <w:t>1</w:t>
      </w:r>
      <w:r w:rsidRPr="00541E1D">
        <w:t xml:space="preserve"> – Het gemiddelde aantal verzonden offertes volgens ondernemingsgrootte, per jaar (2015-202</w:t>
      </w:r>
      <w:r w:rsidR="000F6001">
        <w:t>2</w:t>
      </w:r>
      <w:r w:rsidRPr="00541E1D">
        <w:t>)</w:t>
      </w:r>
      <w:bookmarkEnd w:id="246"/>
    </w:p>
    <w:p w14:paraId="6EE30E4A" w14:textId="708CC2F0" w:rsidR="00F90FD1" w:rsidRPr="00F90FD1" w:rsidRDefault="009A5A08" w:rsidP="009A5A08">
      <w:r>
        <w:rPr>
          <w:noProof/>
        </w:rPr>
        <w:drawing>
          <wp:inline distT="0" distB="0" distL="0" distR="0" wp14:anchorId="631F7668" wp14:editId="490E727C">
            <wp:extent cx="5400000" cy="3600000"/>
            <wp:effectExtent l="19050" t="19050" r="10795" b="19685"/>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400000" cy="3600000"/>
                    </a:xfrm>
                    <a:prstGeom prst="rect">
                      <a:avLst/>
                    </a:prstGeom>
                    <a:noFill/>
                    <a:ln w="6350">
                      <a:solidFill>
                        <a:schemeClr val="tx1"/>
                      </a:solidFill>
                    </a:ln>
                  </pic:spPr>
                </pic:pic>
              </a:graphicData>
            </a:graphic>
          </wp:inline>
        </w:drawing>
      </w:r>
    </w:p>
    <w:p w14:paraId="733669FA" w14:textId="52B48F79" w:rsidR="005D188C" w:rsidRDefault="008D225F" w:rsidP="000872B8">
      <w:pPr>
        <w:pStyle w:val="Source"/>
        <w:jc w:val="both"/>
      </w:pPr>
      <w:r w:rsidRPr="007E0AF9">
        <w:rPr>
          <w:lang w:eastAsia="nl-BE"/>
        </w:rPr>
        <w:t>Bron: Statbel (A.D. Statistiek – Statistics Belgium) &amp; de FOD BOSA – Berekeningen: het Kmo-observatorium</w:t>
      </w:r>
    </w:p>
    <w:p w14:paraId="2A5A3197" w14:textId="77777777" w:rsidR="004A0A3F" w:rsidRPr="004467B3" w:rsidRDefault="004A0A3F" w:rsidP="004A0A3F">
      <w:r>
        <w:t>Ter info: in het kader van een monitoring overheidsopdrachten worden kmo’s geïdentificeerd op basis van de Europese kmo-definitie</w:t>
      </w:r>
      <w:r>
        <w:rPr>
          <w:rStyle w:val="Voetnootmarkering"/>
        </w:rPr>
        <w:footnoteReference w:id="12"/>
      </w:r>
      <w:r>
        <w:t>, wat betekent dat voor elke onderneming gekeken moet worden naar het aantal werknemers, het balanstotaal en het omzetcijfer. Volgens de aanbeveling van de Europese Commissie van 6 mei 2003</w:t>
      </w:r>
      <w:r>
        <w:rPr>
          <w:rStyle w:val="Voetnootmarkering"/>
        </w:rPr>
        <w:footnoteReference w:id="13"/>
      </w:r>
      <w:r>
        <w:t xml:space="preserve"> zijn kmo’s immers ondernemingen die minder dan 250 personen tewerkstellen en </w:t>
      </w:r>
      <w:r w:rsidRPr="004467B3">
        <w:t>ofwel een jaaromzet hebben die niet groter is dan 50 miljoen euro,</w:t>
      </w:r>
      <w:r>
        <w:t xml:space="preserve"> </w:t>
      </w:r>
      <w:r w:rsidRPr="004467B3">
        <w:t>ofwel een balanstotaal van niet meer dan 43 miljoen euro.</w:t>
      </w:r>
    </w:p>
    <w:p w14:paraId="612D47D8" w14:textId="40355C81" w:rsidR="004A0A3F" w:rsidRDefault="004A0A3F" w:rsidP="004A0A3F">
      <w:r>
        <w:t xml:space="preserve">Op initiatief van de FOD Economie wordt enerzijds gewerkt met de subcategorieën van de Europese kmo-definitie </w:t>
      </w:r>
      <w:r w:rsidR="001D15DC">
        <w:t xml:space="preserve">– namelijk de </w:t>
      </w:r>
      <w:r>
        <w:t>micro-, kleine en middelgrote onderneming</w:t>
      </w:r>
      <w:r w:rsidR="001D15DC">
        <w:t xml:space="preserve"> –</w:t>
      </w:r>
      <w:r>
        <w:t xml:space="preserve"> zoals vermeld in de aanbeveling van 6 mei 2003, waarbij anderzijds die subcategorieën nogmaals verfijnd worden met de toevoeging van de categorieën “geen werknemers” en “heel klein”. Dat om beter rekening te houden met de samenstelling van het Belgische ondernemingslandschap en het verschil in capaciteit bij de diverse ondernemingsgroottes om te kunnen reageren op en participeren aan overheidsopdrachten. </w:t>
      </w:r>
    </w:p>
    <w:p w14:paraId="212A0914" w14:textId="77777777" w:rsidR="004A0A3F" w:rsidRDefault="004A0A3F" w:rsidP="004A0A3F">
      <w:r>
        <w:t>We stellen vast dat</w:t>
      </w:r>
    </w:p>
    <w:p w14:paraId="35113C33" w14:textId="64135E48" w:rsidR="00A9314C" w:rsidRPr="001B59C2" w:rsidRDefault="002C0BFA">
      <w:pPr>
        <w:pStyle w:val="Lijstnummering"/>
        <w:numPr>
          <w:ilvl w:val="0"/>
          <w:numId w:val="15"/>
        </w:numPr>
      </w:pPr>
      <w:r>
        <w:t>t</w:t>
      </w:r>
      <w:r w:rsidR="00A9314C" w:rsidRPr="001B59C2">
        <w:t>erwijl de vier kleinste ondernemingsgroottes in 2015 een gezamenlijk aandeel van 5</w:t>
      </w:r>
      <w:r w:rsidR="00A9314C">
        <w:t>8</w:t>
      </w:r>
      <w:r w:rsidR="009D228E">
        <w:t>,3</w:t>
      </w:r>
      <w:r w:rsidR="00A9314C">
        <w:t> </w:t>
      </w:r>
      <w:r w:rsidR="00A9314C" w:rsidRPr="001B59C2">
        <w:t>% hadden, wat de verzonden offertes betreft, dat in 202</w:t>
      </w:r>
      <w:r w:rsidR="009D228E">
        <w:t>2</w:t>
      </w:r>
      <w:r w:rsidR="00A9314C" w:rsidRPr="001B59C2">
        <w:t xml:space="preserve"> gedaald</w:t>
      </w:r>
      <w:r w:rsidR="00A9314C">
        <w:t xml:space="preserve"> is</w:t>
      </w:r>
      <w:r w:rsidR="00A9314C" w:rsidRPr="001B59C2">
        <w:t xml:space="preserve"> naar 4</w:t>
      </w:r>
      <w:r w:rsidR="009D228E">
        <w:t>6,5</w:t>
      </w:r>
      <w:r w:rsidR="00A9314C">
        <w:t> </w:t>
      </w:r>
      <w:r w:rsidR="00A9314C" w:rsidRPr="001B59C2">
        <w:t xml:space="preserve">% </w:t>
      </w:r>
      <w:r w:rsidR="00AE15FA">
        <w:t>–</w:t>
      </w:r>
      <w:r w:rsidR="00A9314C" w:rsidRPr="001B59C2">
        <w:t xml:space="preserve"> alhoewel er in aantallen</w:t>
      </w:r>
      <w:r w:rsidR="00A9314C">
        <w:t xml:space="preserve"> offertes</w:t>
      </w:r>
      <w:r w:rsidR="00A9314C" w:rsidRPr="001B59C2">
        <w:t xml:space="preserve"> geen daling is en de heel kleine onderneming zich ietwat apart gedraagt door een stijging te laten optekenen. De twee grootste ondernemingsgroottes stijgen van 4</w:t>
      </w:r>
      <w:r w:rsidR="009D228E">
        <w:t>0,5</w:t>
      </w:r>
      <w:r w:rsidR="00A9314C">
        <w:t> </w:t>
      </w:r>
      <w:r w:rsidR="00A9314C" w:rsidRPr="001B59C2">
        <w:t>% naar een</w:t>
      </w:r>
      <w:r w:rsidR="008512DF">
        <w:t xml:space="preserve"> gezamenlijk</w:t>
      </w:r>
      <w:r w:rsidR="00A9314C" w:rsidRPr="001B59C2">
        <w:t xml:space="preserve"> aandeel van 5</w:t>
      </w:r>
      <w:r w:rsidR="009D228E">
        <w:t>2,8</w:t>
      </w:r>
      <w:r w:rsidR="00A9314C">
        <w:t> </w:t>
      </w:r>
      <w:r w:rsidR="00A9314C" w:rsidRPr="001B59C2">
        <w:t>%</w:t>
      </w:r>
      <w:r w:rsidR="00A9314C">
        <w:t>, elk met een vrij gelijkaardig aandeel</w:t>
      </w:r>
      <w:r w:rsidR="0035601B">
        <w:t>;</w:t>
      </w:r>
      <w:r w:rsidR="00A9314C" w:rsidRPr="001B59C2">
        <w:t xml:space="preserve"> </w:t>
      </w:r>
    </w:p>
    <w:p w14:paraId="713F536E" w14:textId="605E1A03" w:rsidR="00A9314C" w:rsidRPr="001B59C2" w:rsidRDefault="0035601B">
      <w:pPr>
        <w:pStyle w:val="Lijstnummering"/>
        <w:numPr>
          <w:ilvl w:val="0"/>
          <w:numId w:val="15"/>
        </w:numPr>
      </w:pPr>
      <w:r>
        <w:t>w</w:t>
      </w:r>
      <w:r w:rsidR="00A9314C" w:rsidRPr="001B59C2">
        <w:t xml:space="preserve">e zien dus twee “koplopers”: de middelgrote en grote onderneming met samen meer dan de helft van de </w:t>
      </w:r>
      <w:r w:rsidR="00A9314C">
        <w:t>ontvangen</w:t>
      </w:r>
      <w:r w:rsidR="00A9314C" w:rsidRPr="001B59C2">
        <w:t xml:space="preserve"> offertes. Daarna volgt een “peloton” bestaande uit de micro-, heel kleine en kleine onderneming met elk </w:t>
      </w:r>
      <w:r w:rsidR="00892310">
        <w:t xml:space="preserve">een </w:t>
      </w:r>
      <w:r w:rsidR="00A9314C">
        <w:t xml:space="preserve">ongeveer </w:t>
      </w:r>
      <w:r w:rsidR="00892310">
        <w:t xml:space="preserve">gelijkaardig </w:t>
      </w:r>
      <w:r w:rsidR="00A9314C">
        <w:t>aandeel</w:t>
      </w:r>
      <w:r w:rsidR="00A9314C" w:rsidRPr="001B59C2">
        <w:t xml:space="preserve">. Tot slot is er de “achterblijver”, met name de onderneming zonder werknemers, met </w:t>
      </w:r>
      <w:r w:rsidR="00034A41">
        <w:t xml:space="preserve">ongeveer </w:t>
      </w:r>
      <w:r w:rsidR="00A9314C">
        <w:t>7</w:t>
      </w:r>
      <w:r w:rsidR="00A9314C" w:rsidRPr="001B59C2">
        <w:t>%</w:t>
      </w:r>
      <w:r w:rsidR="003A13D4">
        <w:t>;</w:t>
      </w:r>
      <w:r w:rsidR="00A9314C" w:rsidRPr="001B59C2">
        <w:t xml:space="preserve"> </w:t>
      </w:r>
    </w:p>
    <w:p w14:paraId="25709A2C" w14:textId="168BB297" w:rsidR="00A9314C" w:rsidRDefault="00DB53FA">
      <w:pPr>
        <w:pStyle w:val="Lijstnummering"/>
        <w:numPr>
          <w:ilvl w:val="0"/>
          <w:numId w:val="15"/>
        </w:numPr>
      </w:pPr>
      <w:r>
        <w:t>e</w:t>
      </w:r>
      <w:r w:rsidR="00A9314C" w:rsidRPr="001F5F4E">
        <w:t xml:space="preserve">nkel de </w:t>
      </w:r>
      <w:r w:rsidR="008C1B0A">
        <w:t xml:space="preserve">heel kleine, </w:t>
      </w:r>
      <w:r w:rsidR="00A9314C" w:rsidRPr="001F5F4E">
        <w:t>middelgrote en grote ondernemingen kennen</w:t>
      </w:r>
      <w:r w:rsidR="00632313">
        <w:t xml:space="preserve"> over de </w:t>
      </w:r>
      <w:r w:rsidR="00D341DA">
        <w:t xml:space="preserve">onderzochte </w:t>
      </w:r>
      <w:r w:rsidR="00632313">
        <w:t>periode heen</w:t>
      </w:r>
      <w:r w:rsidR="00A9314C" w:rsidRPr="001F5F4E">
        <w:t xml:space="preserve"> een echte stijging van het jaarlijks</w:t>
      </w:r>
      <w:r w:rsidR="00A9314C">
        <w:t>e</w:t>
      </w:r>
      <w:r w:rsidR="00A9314C" w:rsidRPr="001F5F4E">
        <w:t xml:space="preserve"> gemiddelde aantal verzonden offertes. Bij de </w:t>
      </w:r>
      <w:r w:rsidR="00A9314C" w:rsidRPr="001F5F4E">
        <w:lastRenderedPageBreak/>
        <w:t xml:space="preserve">andere ondernemingsgroottes gaat het om eerder lichte, jaarlijkse schommelingen. Bovendien bevinden enkel de middelgrote en grote onderneming zich de afgelopen </w:t>
      </w:r>
      <w:r w:rsidR="006172BF">
        <w:t>vijf</w:t>
      </w:r>
      <w:r w:rsidR="006172BF" w:rsidRPr="001F5F4E">
        <w:t xml:space="preserve"> </w:t>
      </w:r>
      <w:r w:rsidR="00A9314C" w:rsidRPr="001F5F4E">
        <w:t>jaar boven het jaarlijkse gemiddelde.</w:t>
      </w:r>
    </w:p>
    <w:p w14:paraId="658186F9" w14:textId="432EDE33" w:rsidR="004B2174" w:rsidRDefault="004B2174" w:rsidP="004B2174">
      <w:r>
        <w:t xml:space="preserve">Hou bij de interpretatie van de cijfers er rekening mee dat enerzijds bepaalde ondernemingsgroottes altijd meer capaciteit zullen hebben om aan opdrachten te participeren dan andere, en anderzijds dat de algemene demografie van de Belgische ondernemingen </w:t>
      </w:r>
      <w:r w:rsidR="00E4434C">
        <w:t xml:space="preserve">er </w:t>
      </w:r>
      <w:r>
        <w:t>voor het jaar 2021 ongeveer als volgt uitziet:</w:t>
      </w:r>
    </w:p>
    <w:p w14:paraId="53A8AF21" w14:textId="77777777" w:rsidR="002A614A" w:rsidRPr="002A614A" w:rsidRDefault="002A614A" w:rsidP="002A614A">
      <w:pPr>
        <w:pStyle w:val="Graphic-H1"/>
        <w:jc w:val="both"/>
      </w:pPr>
      <w:bookmarkStart w:id="247" w:name="_Toc88842149"/>
      <w:r w:rsidRPr="002A614A">
        <w:t>Grafiek 2 – Aantal btw-plichtige ondernemingen volgens aantal werknemers (&lt;250, 2021)</w:t>
      </w:r>
      <w:bookmarkEnd w:id="247"/>
    </w:p>
    <w:p w14:paraId="09536AF8" w14:textId="5172D8C0" w:rsidR="002A614A" w:rsidRDefault="002141F9" w:rsidP="002A614A">
      <w:r>
        <w:rPr>
          <w:noProof/>
        </w:rPr>
        <w:drawing>
          <wp:inline distT="0" distB="0" distL="0" distR="0" wp14:anchorId="219AEB2F" wp14:editId="29612CAA">
            <wp:extent cx="5400675" cy="3476498"/>
            <wp:effectExtent l="19050" t="19050" r="9525"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428513" cy="3494418"/>
                    </a:xfrm>
                    <a:prstGeom prst="rect">
                      <a:avLst/>
                    </a:prstGeom>
                    <a:noFill/>
                    <a:ln w="6350">
                      <a:solidFill>
                        <a:schemeClr val="tx1"/>
                      </a:solidFill>
                    </a:ln>
                  </pic:spPr>
                </pic:pic>
              </a:graphicData>
            </a:graphic>
          </wp:inline>
        </w:drawing>
      </w:r>
    </w:p>
    <w:p w14:paraId="603B67BC" w14:textId="77777777" w:rsidR="002A614A" w:rsidRDefault="002A614A" w:rsidP="002A614A">
      <w:pPr>
        <w:pStyle w:val="Source"/>
        <w:rPr>
          <w:lang w:eastAsia="nl-BE"/>
        </w:rPr>
      </w:pPr>
      <w:r w:rsidRPr="007E0AF9">
        <w:rPr>
          <w:lang w:eastAsia="nl-BE"/>
        </w:rPr>
        <w:t>Bron: Statbel (A.D. Statistiek – Statistics Belgium)</w:t>
      </w:r>
      <w:r>
        <w:rPr>
          <w:lang w:eastAsia="nl-BE"/>
        </w:rPr>
        <w:t xml:space="preserve"> </w:t>
      </w:r>
      <w:r w:rsidRPr="007E0AF9">
        <w:rPr>
          <w:lang w:eastAsia="nl-BE"/>
        </w:rPr>
        <w:t>– Berekeningen: het Kmo-observatorium</w:t>
      </w:r>
    </w:p>
    <w:p w14:paraId="6207879D" w14:textId="77777777" w:rsidR="002A614A" w:rsidRDefault="002A614A" w:rsidP="002A614A">
      <w:r>
        <w:t xml:space="preserve">Ter info: ondernemingen met 250 of meer werknemers maken 0,2% uit van het Belgische ondernemingslandschap. </w:t>
      </w:r>
    </w:p>
    <w:p w14:paraId="274334D2" w14:textId="7B0299A5" w:rsidR="00DC4222" w:rsidRPr="00D544D6" w:rsidRDefault="00DC4222" w:rsidP="00DC4222">
      <w:pPr>
        <w:pStyle w:val="Kop3"/>
      </w:pPr>
      <w:r>
        <w:t xml:space="preserve"> </w:t>
      </w:r>
      <w:bookmarkStart w:id="248" w:name="_Toc135840036"/>
      <w:bookmarkStart w:id="249" w:name="_Toc150870641"/>
      <w:r>
        <w:t>Geïmplementeerde maatregelen</w:t>
      </w:r>
      <w:bookmarkEnd w:id="248"/>
      <w:bookmarkEnd w:id="249"/>
      <w:r>
        <w:t xml:space="preserve"> </w:t>
      </w:r>
    </w:p>
    <w:p w14:paraId="584E318E" w14:textId="77777777" w:rsidR="00DC4222" w:rsidRDefault="00DC4222" w:rsidP="002A126C">
      <w:r>
        <w:t>Om de hogervermelde problemen inzake datakwaliteit te verhelpen, werd een pakket van wijzigingen aan het regelgevend kader overheidsopdrachten opgesteld. Die maatregelen treden stapsgewijs in werking vanaf 1 september 2023 tot en met februari 2025 en bestaan uit volgende kernpunten:</w:t>
      </w:r>
    </w:p>
    <w:p w14:paraId="4AD0098C" w14:textId="3B0E7545" w:rsidR="00DC4222" w:rsidRPr="006D67C0" w:rsidRDefault="00DC4222">
      <w:pPr>
        <w:pStyle w:val="Lijstnummering"/>
        <w:numPr>
          <w:ilvl w:val="0"/>
          <w:numId w:val="16"/>
        </w:numPr>
      </w:pPr>
      <w:r>
        <w:t>een</w:t>
      </w:r>
      <w:r w:rsidRPr="006D67C0">
        <w:t xml:space="preserve"> veralgemening van het gebruik van elektronische platformen. De </w:t>
      </w:r>
      <w:r w:rsidR="009805A8">
        <w:t>voormalige</w:t>
      </w:r>
      <w:r w:rsidR="009805A8" w:rsidRPr="006D67C0">
        <w:t xml:space="preserve"> </w:t>
      </w:r>
      <w:r w:rsidRPr="006D67C0">
        <w:t>uitzondering waarbij geen gebruik hoeft te worden gemaakt van d</w:t>
      </w:r>
      <w:r>
        <w:t>ie</w:t>
      </w:r>
      <w:r w:rsidRPr="006D67C0">
        <w:t xml:space="preserve"> platformen voor de overheidsopdrachten onder de Europese </w:t>
      </w:r>
      <w:r>
        <w:t>bekendmakings</w:t>
      </w:r>
      <w:r w:rsidRPr="006D67C0">
        <w:t xml:space="preserve">drempels die worden geplaatst door middel van de onderhandelingsprocedure zonder voorafgaande bekendmaking, </w:t>
      </w:r>
      <w:r w:rsidR="00D60C00">
        <w:t>werd</w:t>
      </w:r>
      <w:r w:rsidR="00D60C00" w:rsidRPr="006D67C0">
        <w:t xml:space="preserve"> </w:t>
      </w:r>
      <w:r w:rsidRPr="006D67C0">
        <w:t xml:space="preserve">geschrapt. Aanbesteders kunnen beroep doen op e-Procurement van de FOD BOSA. Op </w:t>
      </w:r>
      <w:r>
        <w:t>die manier wordt</w:t>
      </w:r>
      <w:r w:rsidRPr="006D67C0">
        <w:t xml:space="preserve"> de data</w:t>
      </w:r>
      <w:r>
        <w:t xml:space="preserve"> over dat type overheidsopdrachten en de data aanwezig in</w:t>
      </w:r>
      <w:r w:rsidRPr="006D67C0">
        <w:t xml:space="preserve"> het </w:t>
      </w:r>
      <w:r>
        <w:t>proces-verbaal</w:t>
      </w:r>
      <w:r w:rsidRPr="006D67C0">
        <w:t xml:space="preserve"> van opening van de offertes</w:t>
      </w:r>
      <w:r>
        <w:t xml:space="preserve"> meer toegankelijk</w:t>
      </w:r>
      <w:r w:rsidR="0087350F">
        <w:t>;</w:t>
      </w:r>
    </w:p>
    <w:p w14:paraId="2A0B2E75" w14:textId="52A7403C" w:rsidR="00DC4222" w:rsidRDefault="00DC4222">
      <w:pPr>
        <w:pStyle w:val="Lijstnummering"/>
        <w:numPr>
          <w:ilvl w:val="0"/>
          <w:numId w:val="16"/>
        </w:numPr>
      </w:pPr>
      <w:r w:rsidRPr="006D67C0">
        <w:t xml:space="preserve">een veralgemening van de aankondiging van gegunde opdracht. Meer bepaald </w:t>
      </w:r>
      <w:r w:rsidR="00D23172">
        <w:t>moet</w:t>
      </w:r>
      <w:r w:rsidR="00D23172" w:rsidRPr="006D67C0">
        <w:t xml:space="preserve"> </w:t>
      </w:r>
      <w:r w:rsidRPr="006D67C0">
        <w:t xml:space="preserve">de aanbesteder, voor de overheidsopdrachten onder de Europese </w:t>
      </w:r>
      <w:r>
        <w:t>bekendmakings</w:t>
      </w:r>
      <w:r w:rsidRPr="006D67C0">
        <w:t xml:space="preserve">drempels, telkens een vereenvoudigde aankondiging van gegunde opdracht invullen (een vereenvoudigde versie van de reeds bestaande aankondiging van gegunde opdracht). </w:t>
      </w:r>
      <w:r>
        <w:t xml:space="preserve">De FOD BOSA </w:t>
      </w:r>
      <w:r w:rsidR="003C1183">
        <w:t xml:space="preserve">stelt </w:t>
      </w:r>
      <w:r>
        <w:t xml:space="preserve">de nodige elektronische formulieren ter beschikking. </w:t>
      </w:r>
    </w:p>
    <w:p w14:paraId="0A01F5E1" w14:textId="14DEAEAB" w:rsidR="00DC4222" w:rsidRPr="00CB4AF5" w:rsidRDefault="00DC4222" w:rsidP="002A126C">
      <w:r>
        <w:lastRenderedPageBreak/>
        <w:t>Beide maatregelen (1 en 2) tr</w:t>
      </w:r>
      <w:r w:rsidR="00546B0A">
        <w:t>a</w:t>
      </w:r>
      <w:r>
        <w:t xml:space="preserve">den in werking op 1 september 2023 en zorgen ervoor dat de kmo-participatie op twee cruciale momenten, namelijk bij het indienen van de offertes en bij de toekenning van de opdracht, grondig kan worden gemonitord. </w:t>
      </w:r>
    </w:p>
    <w:p w14:paraId="08427522" w14:textId="6ED63D1C" w:rsidR="00DC4222" w:rsidRPr="00980C4D" w:rsidRDefault="00DC4222">
      <w:pPr>
        <w:pStyle w:val="Lijstnummering"/>
      </w:pPr>
      <w:r>
        <w:t>V</w:t>
      </w:r>
      <w:r w:rsidRPr="006D67C0">
        <w:t xml:space="preserve">oor de vervolgopdrachten gebaseerd op een raamovereenkomst wordt een bijkomende verplichting ingevoerd. In geval van een raamovereenkomst </w:t>
      </w:r>
      <w:r w:rsidR="00856B3C">
        <w:t>volstaat</w:t>
      </w:r>
      <w:r w:rsidR="00856B3C" w:rsidRPr="006D67C0">
        <w:t xml:space="preserve"> </w:t>
      </w:r>
      <w:r w:rsidRPr="006D67C0">
        <w:t xml:space="preserve">het niet </w:t>
      </w:r>
      <w:r w:rsidR="00856B3C">
        <w:t>langer</w:t>
      </w:r>
      <w:r w:rsidR="00856B3C" w:rsidRPr="006D67C0">
        <w:t xml:space="preserve"> </w:t>
      </w:r>
      <w:r w:rsidRPr="006D67C0">
        <w:t xml:space="preserve">om alleen een aankondiging van gegunde opdracht bekend te maken. </w:t>
      </w:r>
      <w:r>
        <w:t>D</w:t>
      </w:r>
      <w:r w:rsidRPr="006D67C0">
        <w:t>e aanbesteder</w:t>
      </w:r>
      <w:r>
        <w:t xml:space="preserve"> zal</w:t>
      </w:r>
      <w:r w:rsidRPr="006D67C0">
        <w:t xml:space="preserve"> meer bepaald elk jaar een aantal kerngegevens moeten door</w:t>
      </w:r>
      <w:r>
        <w:t>sturen over de vervolgopdrachten</w:t>
      </w:r>
      <w:r w:rsidRPr="006D67C0">
        <w:t xml:space="preserve">, namelijk de totale waarde </w:t>
      </w:r>
      <w:r>
        <w:t>ervan</w:t>
      </w:r>
      <w:r w:rsidRPr="006D67C0">
        <w:t xml:space="preserve"> per begunstigde onderneming (opgesplitst naar werken, leveringen of diensten). </w:t>
      </w:r>
      <w:r>
        <w:t>D</w:t>
      </w:r>
      <w:r w:rsidRPr="006D67C0">
        <w:t xml:space="preserve">e FOD BOSA </w:t>
      </w:r>
      <w:r>
        <w:t>zal daarvoor een digitale toepassing ter beschikking stellen. Het overmaken van die gegevens</w:t>
      </w:r>
      <w:r w:rsidRPr="00980C4D">
        <w:t xml:space="preserve"> zal voor het eerst </w:t>
      </w:r>
      <w:r>
        <w:t>plaatsvinden</w:t>
      </w:r>
      <w:r w:rsidRPr="00980C4D">
        <w:t xml:space="preserve"> begin 2025 (</w:t>
      </w:r>
      <w:r>
        <w:t xml:space="preserve">voor </w:t>
      </w:r>
      <w:r w:rsidRPr="00980C4D">
        <w:t xml:space="preserve">de gegevens </w:t>
      </w:r>
      <w:r>
        <w:t>over</w:t>
      </w:r>
      <w:r w:rsidRPr="00980C4D">
        <w:t xml:space="preserve"> het jaar 2024). </w:t>
      </w:r>
    </w:p>
    <w:p w14:paraId="78945C42" w14:textId="6EBD07DC" w:rsidR="00DC4222" w:rsidRPr="006D67C0" w:rsidRDefault="00DC4222">
      <w:pPr>
        <w:pStyle w:val="Lijstnummering"/>
      </w:pPr>
      <w:r>
        <w:t>Er zullen jaarlijks ook</w:t>
      </w:r>
      <w:r w:rsidRPr="006D67C0">
        <w:t xml:space="preserve"> kerngegevens moeten worden overgemaakt </w:t>
      </w:r>
      <w:r>
        <w:t>over</w:t>
      </w:r>
      <w:r w:rsidRPr="006D67C0">
        <w:t xml:space="preserve"> de opdrachten van beperkte waarde (= opdrachten waarvan de geraamde waarde lager is dan 30</w:t>
      </w:r>
      <w:r w:rsidR="005B42FD">
        <w:t>.</w:t>
      </w:r>
      <w:r w:rsidRPr="006D67C0">
        <w:t xml:space="preserve">000 euro), vergelijkbaar met wat hierboven werd toegelicht voor de vervolgopdrachten gebaseerd op een raamovereenkomst. </w:t>
      </w:r>
      <w:r>
        <w:t>Die</w:t>
      </w:r>
      <w:r w:rsidRPr="006D67C0">
        <w:t xml:space="preserve"> kennisgeving zal </w:t>
      </w:r>
      <w:r>
        <w:t xml:space="preserve">eveneens </w:t>
      </w:r>
      <w:r w:rsidRPr="006D67C0">
        <w:t>voor het eerst doorgevoerd worden begin 2025. De opdrachten waarvan het gunningsbedrag lager is dan 3</w:t>
      </w:r>
      <w:r w:rsidR="005B42FD">
        <w:t>.</w:t>
      </w:r>
      <w:r w:rsidRPr="006D67C0">
        <w:t>000 euro, vallen niet onder deze regeling. Voor d</w:t>
      </w:r>
      <w:r>
        <w:t>ie</w:t>
      </w:r>
      <w:r w:rsidRPr="006D67C0">
        <w:t xml:space="preserve"> laatste opdrachten moeten geen gegevens worden overgemaakt </w:t>
      </w:r>
      <w:r>
        <w:t>via</w:t>
      </w:r>
      <w:r w:rsidRPr="006D67C0">
        <w:t xml:space="preserve"> e-</w:t>
      </w:r>
      <w:r w:rsidR="00427056">
        <w:t>P</w:t>
      </w:r>
      <w:r w:rsidRPr="006D67C0">
        <w:t>rocurement.</w:t>
      </w:r>
    </w:p>
    <w:p w14:paraId="6EA4580B" w14:textId="77777777" w:rsidR="00DC4222" w:rsidRDefault="00DC4222" w:rsidP="002A126C">
      <w:r>
        <w:t xml:space="preserve">Beide maatregelen (3 en 4) zorgen ervoor dat voor twee, voor de kmo-participatie belangrijke en relevante, types overheidsopdrachten de nodige data beschikbaar worden. </w:t>
      </w:r>
    </w:p>
    <w:p w14:paraId="31D298CE" w14:textId="188D6762" w:rsidR="00DC4222" w:rsidRDefault="00DC4222">
      <w:pPr>
        <w:pStyle w:val="Lijstnummering"/>
      </w:pPr>
      <w:r w:rsidRPr="00455740">
        <w:t>Door de FOD BOSA zullen indicatoren worden ontwikkeld omtrent de wijze waarop elke aanbesteder een aantal van de transparantieverplichtingen heeft nageleefd</w:t>
      </w:r>
      <w:r>
        <w:t>, zoals bijvoorbeeld de publicatie van de aankondiging van gegunde opdracht</w:t>
      </w:r>
      <w:r w:rsidRPr="00455740">
        <w:t xml:space="preserve">. Voor </w:t>
      </w:r>
      <w:r w:rsidR="0094543D">
        <w:t>deze maatregel</w:t>
      </w:r>
      <w:r w:rsidRPr="00455740">
        <w:t xml:space="preserve"> </w:t>
      </w:r>
      <w:r>
        <w:t>wordt met een specifiek</w:t>
      </w:r>
      <w:r w:rsidR="0094543D">
        <w:t>, nog te publiceren</w:t>
      </w:r>
      <w:r>
        <w:t xml:space="preserve"> koninklijk besluit gewerkt</w:t>
      </w:r>
      <w:r w:rsidRPr="00455740">
        <w:t>.</w:t>
      </w:r>
    </w:p>
    <w:p w14:paraId="773CE595" w14:textId="3F621F37" w:rsidR="00DC4222" w:rsidRDefault="004433CD">
      <w:pPr>
        <w:pStyle w:val="Lijstnummering"/>
      </w:pPr>
      <w:r>
        <w:t xml:space="preserve">De </w:t>
      </w:r>
      <w:r w:rsidR="00DC4222">
        <w:t xml:space="preserve">mogelijkheid om, via een </w:t>
      </w:r>
      <w:r w:rsidR="00A846DE">
        <w:t>KB</w:t>
      </w:r>
      <w:r w:rsidR="00DC4222">
        <w:t>, het gebruik van de subcategorieën van de Europese kmo-definitie wettelijk te verankeren in het kader van een monitoring overheidsopdrachten en om die subcategorieën verder te verfijnen, werd toegevoegd aan de wet van 17 juni 2016.</w:t>
      </w:r>
    </w:p>
    <w:p w14:paraId="764081A8" w14:textId="77777777" w:rsidR="00DC4222" w:rsidRDefault="00DC4222">
      <w:pPr>
        <w:pStyle w:val="Lijstnummering"/>
      </w:pPr>
      <w:r>
        <w:t xml:space="preserve">Bovendien wordt de inhoud van bepaalde formulieren, zoals dat van het proces-verbaal van de opening van offertes en de aankondiging van gegunde opdracht, op punt gesteld. Zo wordt het verplicht om het ondernemingsnummer in te vullen en dat op correcte wijze. Daarnaast zal de waarde van een opdracht nauwkeuriger geregistreerd worden. Ook gevallen waar meerdere ondernemingen samen meedingen naar een opdracht worden nauwkeuriger opgevolgd. </w:t>
      </w:r>
    </w:p>
    <w:p w14:paraId="23BB060A" w14:textId="77777777" w:rsidR="00DC4222" w:rsidRPr="00455740" w:rsidRDefault="00DC4222">
      <w:pPr>
        <w:pStyle w:val="Lijstnummering"/>
      </w:pPr>
      <w:r>
        <w:t xml:space="preserve">Tot slot zal de toepassing van een aantal specifieke aspecten van dit charter meer in detail bevraagd en geregistreerd worden. Denk daarbij aan het gebruik van voorafgaande marktconsultaties, informatiesessies, de biedvergoeding, de borgtocht en de voorschotten. </w:t>
      </w:r>
    </w:p>
    <w:p w14:paraId="58E378C9" w14:textId="77777777" w:rsidR="00DC4222" w:rsidRDefault="00DC4222" w:rsidP="002A126C">
      <w:r>
        <w:t>Alle</w:t>
      </w:r>
      <w:r w:rsidRPr="004214AA">
        <w:t xml:space="preserve"> voormelde wijzigingen </w:t>
      </w:r>
      <w:r>
        <w:t xml:space="preserve">samen </w:t>
      </w:r>
      <w:r w:rsidRPr="004214AA">
        <w:t xml:space="preserve">zullen ervoor zorgen dat </w:t>
      </w:r>
      <w:r>
        <w:t>(1) de federale overheid de toepassing van dit charter grondig kan opvolgen, (2) de Belgische overheden</w:t>
      </w:r>
      <w:r w:rsidRPr="004214AA">
        <w:t xml:space="preserve"> op meer efficiënte wijze </w:t>
      </w:r>
      <w:r>
        <w:t>hun beleid inzake overheidsopdrachten kunnen opvolgen, evalueren en verbeteren, en (3) de Belgische overheden hun</w:t>
      </w:r>
      <w:r w:rsidRPr="004214AA">
        <w:t xml:space="preserve"> statistische verplichtingen </w:t>
      </w:r>
      <w:r>
        <w:t>kunnen</w:t>
      </w:r>
      <w:r w:rsidRPr="004214AA">
        <w:t xml:space="preserve"> nakomen.</w:t>
      </w:r>
      <w:r>
        <w:t xml:space="preserve"> </w:t>
      </w:r>
      <w:r w:rsidRPr="004214AA">
        <w:t>De aanbesteders doen er</w:t>
      </w:r>
      <w:r>
        <w:t xml:space="preserve"> dan ook</w:t>
      </w:r>
      <w:r w:rsidRPr="004214AA">
        <w:t xml:space="preserve"> goed aan de transparantieverplichtingen nauwgezet en stipt na te leven. </w:t>
      </w:r>
    </w:p>
    <w:p w14:paraId="299D97FA" w14:textId="77777777" w:rsidR="00DC4222" w:rsidRDefault="00DC4222" w:rsidP="002A126C">
      <w:r>
        <w:t xml:space="preserve">Het volledige pakket aan maatregelen zal in de loop van 2025 resulteren in een eerste, nieuwe grootschalige set van gegevens over bijna alle Belgische overheidsopdrachten. </w:t>
      </w:r>
    </w:p>
    <w:p w14:paraId="1DDC2D4F" w14:textId="77777777" w:rsidR="00DC4222" w:rsidRDefault="00DC4222" w:rsidP="002A126C">
      <w:r>
        <w:t>Tot slot wordt opgemerkt dat in het kader van de Europese regelgeving inzake overheidsopdrachten, omgezet via de wet van 17 juni 2016, er elke drie jaar een nationaal toezichtrapport</w:t>
      </w:r>
      <w:r>
        <w:rPr>
          <w:rStyle w:val="Voetnootmarkering"/>
        </w:rPr>
        <w:footnoteReference w:id="14"/>
      </w:r>
      <w:r>
        <w:t xml:space="preserve"> over overheidsopdrachten in België moet worden opgeleverd aan de Europese Commissie. </w:t>
      </w:r>
    </w:p>
    <w:p w14:paraId="22C30139" w14:textId="18B14072" w:rsidR="00DC4222" w:rsidRDefault="00DC4222" w:rsidP="002A126C">
      <w:r>
        <w:t xml:space="preserve">Er werd door de federale regering besloten om van dat reeds bestaande instrument verder gebruik te maken in het kader van een monitoring van de (kmo-participatie bij) overheidsopdrachten. Met name thema’s die zich moeilijk kwantitatief laten monitoren, zullen via een vragenlijst naar de aanbesteders toe bijkomend bevraagd worden tijdens de reeds bestaande werkzaamheden in het </w:t>
      </w:r>
      <w:r>
        <w:lastRenderedPageBreak/>
        <w:t xml:space="preserve">kader van het driejaarlijkse toezichtrapport. Daarnaast biedt dit kanaal een extra mogelijkheid om bijvoorbeeld kwantitatieve gegevens die verzameld werden, maar waarvan de resultaten vragen oproepen, verder te bevragen </w:t>
      </w:r>
      <w:r w:rsidR="005D66DC">
        <w:t xml:space="preserve">om </w:t>
      </w:r>
      <w:r>
        <w:t xml:space="preserve">zo een meer verfijnde interpretatie mogelijk te maken. </w:t>
      </w:r>
    </w:p>
    <w:p w14:paraId="278973DF" w14:textId="522C129E" w:rsidR="008912EB" w:rsidRPr="00A62C4A" w:rsidRDefault="008912EB" w:rsidP="008912EB">
      <w:pPr>
        <w:pStyle w:val="Kop3"/>
      </w:pPr>
      <w:r>
        <w:t xml:space="preserve"> </w:t>
      </w:r>
      <w:bookmarkStart w:id="250" w:name="_Toc135840037"/>
      <w:bookmarkStart w:id="251" w:name="_Toc150870642"/>
      <w:r>
        <w:t>Toekomst</w:t>
      </w:r>
      <w:bookmarkEnd w:id="250"/>
      <w:bookmarkEnd w:id="251"/>
      <w:r>
        <w:t xml:space="preserve"> </w:t>
      </w:r>
    </w:p>
    <w:p w14:paraId="5F2F0C4C" w14:textId="0BB9E7D4" w:rsidR="008912EB" w:rsidRDefault="008912EB" w:rsidP="008912EB">
      <w:r>
        <w:t xml:space="preserve">Finaal heeft de federale regering reeds enkele ambities geformuleerd voor de toekomst, </w:t>
      </w:r>
      <w:r w:rsidR="00B54CBE">
        <w:t xml:space="preserve">voor </w:t>
      </w:r>
      <w:r>
        <w:t>wanneer al hetgeen reeds beschreven werd onder dit principe geïmplementeerd is. Daarbij wordt gefocust op onder meer volgende twee doelstellingen:</w:t>
      </w:r>
    </w:p>
    <w:p w14:paraId="2AF7BB18" w14:textId="05BF1F53" w:rsidR="008912EB" w:rsidRPr="000E163A" w:rsidRDefault="000E163A">
      <w:pPr>
        <w:pStyle w:val="Kop4"/>
        <w:numPr>
          <w:ilvl w:val="0"/>
          <w:numId w:val="19"/>
        </w:numPr>
        <w:rPr>
          <w:lang w:val="nl-BE"/>
        </w:rPr>
      </w:pPr>
      <w:r w:rsidRPr="000E163A">
        <w:rPr>
          <w:lang w:val="nl-BE"/>
        </w:rPr>
        <w:t>C</w:t>
      </w:r>
      <w:r w:rsidR="008912EB" w:rsidRPr="000E163A">
        <w:rPr>
          <w:lang w:val="nl-BE"/>
        </w:rPr>
        <w:t xml:space="preserve">ijfers over onderaanneming bij overheidsopdrachten </w:t>
      </w:r>
    </w:p>
    <w:p w14:paraId="7CD14861" w14:textId="77777777" w:rsidR="008912EB" w:rsidRPr="00EE3164" w:rsidRDefault="008912EB" w:rsidP="008912EB">
      <w:r w:rsidRPr="00520539">
        <w:t xml:space="preserve">Onderaanneming bij Belgische overheidsopdrachten is een realiteit. Zo kan het gebeuren dat een buitenlandse onderneming een Belgische opdracht toegekend krijgt, maar de uitvoering grotendeels uitbesteed wordt aan Belgische ondernemingen. Maar ook het omgekeerde kan het geval zijn. Aangezien een groot deel van de onderaannemers Belgische kmo’s zijn, is het dan ook van groot belang om inzicht te krijgen in de situatie. Er kan geen fundamenteel correcte meting van de kmo-participatie bij overheidsopdrachten </w:t>
      </w:r>
      <w:r>
        <w:t>opgezet worden</w:t>
      </w:r>
      <w:r w:rsidRPr="00520539">
        <w:t xml:space="preserve"> zonder de situatie inzake onderaanneming mee in kaart te brengen. Bovendien bestaan vandaag de technologische middelen om dergelijke gegevens op een bedrijfsvriendelijke manier in te zamelen op grote schaal. </w:t>
      </w:r>
    </w:p>
    <w:p w14:paraId="03D2A814" w14:textId="24B667EA" w:rsidR="008912EB" w:rsidRPr="000E163A" w:rsidRDefault="000E163A">
      <w:pPr>
        <w:pStyle w:val="Kop4"/>
        <w:numPr>
          <w:ilvl w:val="0"/>
          <w:numId w:val="19"/>
        </w:numPr>
        <w:rPr>
          <w:lang w:val="nl-BE"/>
        </w:rPr>
      </w:pPr>
      <w:r w:rsidRPr="000E163A">
        <w:rPr>
          <w:lang w:val="nl-BE"/>
        </w:rPr>
        <w:t>H</w:t>
      </w:r>
      <w:r w:rsidR="008912EB" w:rsidRPr="000E163A">
        <w:rPr>
          <w:lang w:val="nl-BE"/>
        </w:rPr>
        <w:t>et concept “becijferde doelstellingen”</w:t>
      </w:r>
    </w:p>
    <w:p w14:paraId="4386BE0A" w14:textId="77777777" w:rsidR="008912EB" w:rsidRDefault="008912EB" w:rsidP="008912EB">
      <w:r>
        <w:t xml:space="preserve">Aangezien er tot nu toe geen correcte, structurele monitoring van (kmo-participatie bij) Belgische overheidsopdrachten mogelijk was, was het ook niet mogelijk om – indien gewenst – becijferde doelstellingen uit te werken. Gegevens ter inspiratie van dergelijke doelstellingen zijn immers van mindere kwaliteit en de doelstellingen konden bovendien niet correct worden opgevolgd. </w:t>
      </w:r>
    </w:p>
    <w:p w14:paraId="1CB09FA4" w14:textId="7E6049C7" w:rsidR="004B2174" w:rsidRDefault="008912EB" w:rsidP="004B2174">
      <w:r>
        <w:t xml:space="preserve">Eenmaal een structurele monitoring van de kmo-participatie bij overheidsopdrachten op poten staat, heeft de federale regering de ambitie om dit onderwerp grondig te bestuderen. Zowel het wettelijke kader, de wenselijkheid van dergelijke doelstellingen, de noodzaak ertoe als de potentiële praktische opties zullen het voorwerp vormen van verder onderzoek. </w:t>
      </w:r>
    </w:p>
    <w:p w14:paraId="71AF629E" w14:textId="188404B9" w:rsidR="00980323" w:rsidRDefault="00D90FF0" w:rsidP="00980323">
      <w:pPr>
        <w:pStyle w:val="Kop3"/>
      </w:pPr>
      <w:r>
        <w:t xml:space="preserve"> </w:t>
      </w:r>
      <w:bookmarkStart w:id="252" w:name="_Toc135840038"/>
      <w:bookmarkStart w:id="253" w:name="_Toc150870643"/>
      <w:r w:rsidR="00980323" w:rsidRPr="00283640">
        <w:t>Toepassing van het charter en de kmo-participatie</w:t>
      </w:r>
      <w:bookmarkEnd w:id="252"/>
      <w:bookmarkEnd w:id="253"/>
    </w:p>
    <w:p w14:paraId="70673398" w14:textId="77777777" w:rsidR="00980323" w:rsidRDefault="00980323" w:rsidP="00980323">
      <w:r w:rsidRPr="00E00E19">
        <w:t xml:space="preserve">Voor de eigenlijke </w:t>
      </w:r>
      <w:r>
        <w:t>monitoring van de toepassing van dit charter en van de kmo-participatie bij (federale) overheidsopdrachten</w:t>
      </w:r>
      <w:r w:rsidRPr="00E00E19">
        <w:t xml:space="preserve"> zal </w:t>
      </w:r>
      <w:r>
        <w:t>er gebruikgemaakt worden</w:t>
      </w:r>
      <w:r w:rsidRPr="00E00E19">
        <w:t xml:space="preserve"> van</w:t>
      </w:r>
      <w:r>
        <w:t xml:space="preserve"> volgende instrumenten en entiteiten. </w:t>
      </w:r>
    </w:p>
    <w:p w14:paraId="42333326" w14:textId="4FF4A61A" w:rsidR="00980323" w:rsidRDefault="00980323" w:rsidP="00980323">
      <w:r>
        <w:t>Eerst en vooral wordt gebruikgemaakt van de data aanwezig in e-Procurement</w:t>
      </w:r>
      <w:r w:rsidR="008C2F53">
        <w:t>, beheerd door</w:t>
      </w:r>
      <w:r>
        <w:t xml:space="preserve"> de FOD BOSA, aangevuld met sporadisch verzamelde kwalitatieve gegevens (zie eerder). </w:t>
      </w:r>
    </w:p>
    <w:p w14:paraId="413E060E" w14:textId="6499285C" w:rsidR="00980323" w:rsidRPr="00E00E19" w:rsidRDefault="00980323" w:rsidP="00980323">
      <w:r>
        <w:t xml:space="preserve">Ten tweede wordt een beroep gedaan op </w:t>
      </w:r>
      <w:r w:rsidRPr="00E00E19">
        <w:t xml:space="preserve">organen opgezet in de schoot van het federale aankoopbeleid en de </w:t>
      </w:r>
      <w:r w:rsidRPr="000E5C87">
        <w:t>federaal gecentraliseerde overheidsopdrachten. In het kader van het federale aankoopbeleid werd in 2017 een</w:t>
      </w:r>
      <w:r w:rsidRPr="00E00E19">
        <w:t xml:space="preserve"> samenwerkingsmodel op federaal niveau opgericht</w:t>
      </w:r>
      <w:r w:rsidR="006C296B">
        <w:t xml:space="preserve"> (dat van een update voorzien werd in 2023</w:t>
      </w:r>
      <w:r w:rsidR="003B3C69">
        <w:t xml:space="preserve">, zie </w:t>
      </w:r>
      <w:r w:rsidR="00F57158">
        <w:t>de inleiding voor meer informatie</w:t>
      </w:r>
      <w:r w:rsidR="006C296B">
        <w:t>)</w:t>
      </w:r>
      <w:r w:rsidRPr="00E00E19">
        <w:t xml:space="preserve">, inclusief een coördinatie- en besluitvormingsstructuur, met als doelstellingen: </w:t>
      </w:r>
    </w:p>
    <w:p w14:paraId="037B2B58" w14:textId="2AD65B43" w:rsidR="00980323" w:rsidRPr="00E00E19" w:rsidRDefault="00980323" w:rsidP="00D915ED">
      <w:pPr>
        <w:pStyle w:val="Lijstnummering"/>
        <w:numPr>
          <w:ilvl w:val="0"/>
          <w:numId w:val="17"/>
        </w:numPr>
      </w:pPr>
      <w:r>
        <w:t xml:space="preserve">een </w:t>
      </w:r>
      <w:r w:rsidRPr="00E00E19">
        <w:t>verhoogde efficiëntie</w:t>
      </w:r>
      <w:r w:rsidR="00D915ED">
        <w:t xml:space="preserve"> van de huidige federale gemeenschappelijke aankoopvormen voor wat betreft overheidsopdrachten voor leveringen en diensten</w:t>
      </w:r>
      <w:r>
        <w:t>;</w:t>
      </w:r>
    </w:p>
    <w:p w14:paraId="0ADEDEC3" w14:textId="77777777" w:rsidR="00980323" w:rsidRPr="00E00E19" w:rsidRDefault="00980323">
      <w:pPr>
        <w:pStyle w:val="Lijstnummering"/>
        <w:numPr>
          <w:ilvl w:val="0"/>
          <w:numId w:val="17"/>
        </w:numPr>
      </w:pPr>
      <w:r w:rsidRPr="00E00E19">
        <w:t xml:space="preserve">de participatiegraad van kmo’s in de overheidsopdrachtenmarkt vergroten en </w:t>
      </w:r>
    </w:p>
    <w:p w14:paraId="2314946A" w14:textId="77777777" w:rsidR="00980323" w:rsidRPr="00E00E19" w:rsidRDefault="00980323">
      <w:pPr>
        <w:pStyle w:val="Lijstnummering"/>
        <w:numPr>
          <w:ilvl w:val="0"/>
          <w:numId w:val="17"/>
        </w:numPr>
      </w:pPr>
      <w:r w:rsidRPr="00E00E19">
        <w:t xml:space="preserve">het bevorderen van duurzaamheid. </w:t>
      </w:r>
    </w:p>
    <w:p w14:paraId="678E7B79" w14:textId="3C167AB3" w:rsidR="00980323" w:rsidRPr="00C405DB" w:rsidRDefault="00980323" w:rsidP="00980323">
      <w:r w:rsidRPr="00C405DB">
        <w:t>Centraal in de besluitvormingsstructuur staat het netwerk van strategisch federaal aankoopoverleg (SFA). Om de voormelde doelstellingen te bereiken, neemt het SFA de nodige strategische beslissingen, die zullen gelden voor elke federale overheidsdienst onder haar toepassingsgebied, en bepaalt het jaarlijks indicatoren die toelaten</w:t>
      </w:r>
      <w:r>
        <w:t xml:space="preserve"> om</w:t>
      </w:r>
      <w:r w:rsidRPr="00C405DB">
        <w:t xml:space="preserve"> te meten in welke mate de doelstellingen bereikt zijn. Het dienstencentrum “</w:t>
      </w:r>
      <w:r w:rsidR="00EE5AB8">
        <w:t>P</w:t>
      </w:r>
      <w:r w:rsidRPr="00C405DB">
        <w:t>rocurement”</w:t>
      </w:r>
      <w:r>
        <w:rPr>
          <w:rStyle w:val="Voetnootmarkering"/>
        </w:rPr>
        <w:footnoteReference w:id="15"/>
      </w:r>
      <w:r>
        <w:t xml:space="preserve"> van de</w:t>
      </w:r>
      <w:r w:rsidRPr="00C405DB">
        <w:t xml:space="preserve"> FOD BOSA staat in voor </w:t>
      </w:r>
      <w:r w:rsidRPr="00C405DB">
        <w:lastRenderedPageBreak/>
        <w:t>de voortdurende opvolging van de indicatoren en stelt de resultaten voor via diverse vormen van rapportering.</w:t>
      </w:r>
    </w:p>
    <w:p w14:paraId="6023D069" w14:textId="19846304" w:rsidR="00980323" w:rsidRDefault="00980323" w:rsidP="00980323">
      <w:r w:rsidRPr="00C405DB">
        <w:t xml:space="preserve">Het charter </w:t>
      </w:r>
      <w:r>
        <w:t>zal</w:t>
      </w:r>
      <w:r w:rsidRPr="00C405DB">
        <w:t xml:space="preserve"> door het SFA gebruikt worden als leidraad bij het uitwerken van het beleid </w:t>
      </w:r>
      <w:r>
        <w:t>over</w:t>
      </w:r>
      <w:r w:rsidRPr="00C405DB">
        <w:t xml:space="preserve"> de doelstelling</w:t>
      </w:r>
      <w:r>
        <w:t xml:space="preserve"> </w:t>
      </w:r>
      <w:r w:rsidR="003E5AFF">
        <w:t xml:space="preserve">inzake </w:t>
      </w:r>
      <w:r w:rsidRPr="00C405DB">
        <w:t xml:space="preserve">het vergroten van de participatiegraad van kmo’s bij overheidsopdrachten, waarbij de principes </w:t>
      </w:r>
      <w:r>
        <w:t xml:space="preserve">van dit charter </w:t>
      </w:r>
      <w:r w:rsidRPr="00C405DB">
        <w:t xml:space="preserve">kunnen dienen als basis voor specifieke doelstellingen en indicatoren. Entiteiten die niet onder het SFA vallen, maar wel onder het toepassingsgebied van het charter, kunnen die manier van werken overnemen in hun eigen monitoring- en controlesystemen, en doelstellingen </w:t>
      </w:r>
      <w:r>
        <w:t xml:space="preserve">en indicatoren </w:t>
      </w:r>
      <w:r w:rsidRPr="00C405DB">
        <w:t>formuleren in hun specifieke beheersovereenkomsten.</w:t>
      </w:r>
    </w:p>
    <w:p w14:paraId="58FF24DC" w14:textId="0E07ACEC" w:rsidR="00980323" w:rsidRDefault="00980323" w:rsidP="00980323">
      <w:r>
        <w:t>Ten derde wordt de reeds bestaande samenwerking tussen de FOD BOSA en de FOD Economie, meer bepaald de Aankoopdienst</w:t>
      </w:r>
      <w:r w:rsidR="003A18FB">
        <w:t xml:space="preserve"> van de FOD Economie</w:t>
      </w:r>
      <w:r>
        <w:t>, de A.D. K.M.O.-beleid en Statbel, voortgezet en verder uitgewerkt voor</w:t>
      </w:r>
    </w:p>
    <w:p w14:paraId="4F35E828" w14:textId="77777777" w:rsidR="00980323" w:rsidRDefault="00980323">
      <w:pPr>
        <w:pStyle w:val="Lijstnummering"/>
        <w:numPr>
          <w:ilvl w:val="0"/>
          <w:numId w:val="18"/>
        </w:numPr>
      </w:pPr>
      <w:r w:rsidRPr="00BC54CB">
        <w:t xml:space="preserve">het monitoren van de kmo-participatie </w:t>
      </w:r>
      <w:r>
        <w:t>(waaronder het bepalen van de ondernemingsgrootte);</w:t>
      </w:r>
    </w:p>
    <w:p w14:paraId="6218375F" w14:textId="3322FA30" w:rsidR="00980323" w:rsidRDefault="00506D8F">
      <w:pPr>
        <w:pStyle w:val="Lijstnummering"/>
        <w:numPr>
          <w:ilvl w:val="0"/>
          <w:numId w:val="18"/>
        </w:numPr>
      </w:pPr>
      <w:r>
        <w:t xml:space="preserve">de </w:t>
      </w:r>
      <w:r w:rsidR="00980323">
        <w:t xml:space="preserve">algemene </w:t>
      </w:r>
      <w:r w:rsidR="00980323" w:rsidRPr="00BC54CB">
        <w:t>ondersteuning bij de interpretatie van gegevens aanwezig i</w:t>
      </w:r>
      <w:r w:rsidR="00980323">
        <w:t>n eProcurement;</w:t>
      </w:r>
    </w:p>
    <w:p w14:paraId="5611267B" w14:textId="77777777" w:rsidR="00980323" w:rsidRDefault="00980323">
      <w:pPr>
        <w:pStyle w:val="Lijstnummering"/>
        <w:numPr>
          <w:ilvl w:val="0"/>
          <w:numId w:val="18"/>
        </w:numPr>
      </w:pPr>
      <w:r>
        <w:t>het verzorgen en opvolgen van de contacten met de ondernemingswereld; en</w:t>
      </w:r>
    </w:p>
    <w:p w14:paraId="0709073D" w14:textId="3C9E64CC" w:rsidR="004B2174" w:rsidRDefault="00980323">
      <w:pPr>
        <w:pStyle w:val="Lijstnummering"/>
        <w:numPr>
          <w:ilvl w:val="0"/>
          <w:numId w:val="18"/>
        </w:numPr>
      </w:pPr>
      <w:r>
        <w:t xml:space="preserve">het evalueren van het beleid inzake kmo-participatie bij overheidsopdrachten in al zijn facetten – inclusief het formuleren van beleidsaanbevelingen. </w:t>
      </w:r>
    </w:p>
    <w:p w14:paraId="36A2985D" w14:textId="055CF463" w:rsidR="0071494D" w:rsidRDefault="0071494D" w:rsidP="0071494D">
      <w:pPr>
        <w:pStyle w:val="Kop3"/>
      </w:pPr>
      <w:r>
        <w:t xml:space="preserve"> </w:t>
      </w:r>
      <w:bookmarkStart w:id="254" w:name="_Toc135840039"/>
      <w:bookmarkStart w:id="255" w:name="_Toc150870644"/>
      <w:r>
        <w:t>Cijfers over het Belgische ondernemingslandschap</w:t>
      </w:r>
      <w:bookmarkEnd w:id="254"/>
      <w:bookmarkEnd w:id="255"/>
    </w:p>
    <w:p w14:paraId="16BC000E" w14:textId="714DC22C" w:rsidR="0071494D" w:rsidRDefault="0071494D" w:rsidP="0071494D">
      <w:r>
        <w:t>Uit de evaluatie van het charter kwam naar voren dat er een gebrek aan kennis</w:t>
      </w:r>
      <w:r w:rsidR="00351CB2">
        <w:t xml:space="preserve"> is</w:t>
      </w:r>
      <w:r>
        <w:t xml:space="preserve"> bij de aanbesteders over het Belgische ondernemingslandschap en</w:t>
      </w:r>
      <w:r w:rsidR="003C3746">
        <w:t xml:space="preserve"> dat</w:t>
      </w:r>
      <w:r>
        <w:t xml:space="preserve"> er vraag bestaat naar cijfers, bijvoorbeeld over hoeveel en welke types kmo er aanwezig zijn in een bepaalde sector. </w:t>
      </w:r>
    </w:p>
    <w:p w14:paraId="455ACB83" w14:textId="77777777" w:rsidR="0071494D" w:rsidRDefault="0071494D" w:rsidP="0071494D">
      <w:r>
        <w:t>Ter ondersteuning van de aanbesteders, bijvoorbeeld in het kader van een marktverkenning, wordt verwezen naar volgende twee (publiek beschikbare) bronnen van informatie:</w:t>
      </w:r>
    </w:p>
    <w:p w14:paraId="473E43CB" w14:textId="6F364BA3" w:rsidR="0071494D" w:rsidRPr="00A82495" w:rsidRDefault="0071494D" w:rsidP="0071494D">
      <w:pPr>
        <w:pStyle w:val="Bullet1"/>
        <w:rPr>
          <w:lang w:val="nl-BE"/>
        </w:rPr>
      </w:pPr>
      <w:r w:rsidRPr="00A82495">
        <w:rPr>
          <w:lang w:val="nl-BE"/>
        </w:rPr>
        <w:t xml:space="preserve">de rubriek </w:t>
      </w:r>
      <w:r w:rsidR="00CA7A8C">
        <w:rPr>
          <w:lang w:val="nl-BE"/>
        </w:rPr>
        <w:t>“</w:t>
      </w:r>
      <w:hyperlink r:id="rId110" w:history="1">
        <w:r w:rsidR="00CA7A8C" w:rsidRPr="00CA7A8C">
          <w:rPr>
            <w:rStyle w:val="Hyperlink"/>
            <w:lang w:val="nl-BE"/>
          </w:rPr>
          <w:t>Kmo’s en zelfstandigen in cijfers</w:t>
        </w:r>
      </w:hyperlink>
      <w:r w:rsidR="00CA7A8C">
        <w:rPr>
          <w:lang w:val="nl-BE"/>
        </w:rPr>
        <w:t xml:space="preserve">” </w:t>
      </w:r>
      <w:r w:rsidRPr="00A82495">
        <w:rPr>
          <w:lang w:val="nl-BE"/>
        </w:rPr>
        <w:t>van de FOD Economie, beheerd door de A.D. K.M.O.-beleid, die een algemene stand van zaken biedt over de Belgische kmo’s en dat volgens diverse thema’s en onderverdelingen;</w:t>
      </w:r>
    </w:p>
    <w:p w14:paraId="34096068" w14:textId="6D5540B1" w:rsidR="00432456" w:rsidRPr="00A82495" w:rsidRDefault="0071494D" w:rsidP="00196987">
      <w:pPr>
        <w:pStyle w:val="Bullet1"/>
        <w:rPr>
          <w:lang w:val="nl-BE"/>
        </w:rPr>
      </w:pPr>
      <w:r w:rsidRPr="00A82495">
        <w:rPr>
          <w:lang w:val="nl-BE"/>
        </w:rPr>
        <w:t xml:space="preserve">de publiek beschikbare statistieken van Statbel over ondernemingen, meer bepaald de rubriek “Ondernemingen” (zie </w:t>
      </w:r>
      <w:hyperlink r:id="rId111" w:history="1">
        <w:r w:rsidRPr="00A82495">
          <w:rPr>
            <w:rStyle w:val="Hyperlink"/>
            <w:lang w:val="nl-BE"/>
          </w:rPr>
          <w:t>https://statbel.fgov.be/nl/themas/ondernemingen</w:t>
        </w:r>
      </w:hyperlink>
      <w:r w:rsidRPr="00A82495">
        <w:rPr>
          <w:lang w:val="nl-BE"/>
        </w:rPr>
        <w:t>) en de tool be.STAT waar de gebruiker zelf een aantal statistieken kan opzoeken en samenstellen (zie</w:t>
      </w:r>
      <w:r w:rsidR="00200E23">
        <w:rPr>
          <w:lang w:val="nl-BE"/>
        </w:rPr>
        <w:t xml:space="preserve"> </w:t>
      </w:r>
      <w:hyperlink r:id="rId112" w:history="1">
        <w:r w:rsidR="0068781F" w:rsidRPr="0068781F">
          <w:rPr>
            <w:rStyle w:val="Hyperlink"/>
            <w:lang w:val="nl-BE"/>
          </w:rPr>
          <w:t>https://bestat.statbel.fgov.be/bestat/index.xhtml</w:t>
        </w:r>
      </w:hyperlink>
      <w:r w:rsidRPr="00A82495">
        <w:rPr>
          <w:lang w:val="nl-BE"/>
        </w:rPr>
        <w:t xml:space="preserve">, categorie “ondernemingen”, bijvoorbeeld de tabellen “demografie”). </w:t>
      </w:r>
    </w:p>
    <w:p w14:paraId="6F434D3A" w14:textId="77777777" w:rsidR="00196987" w:rsidRPr="009069A3" w:rsidRDefault="00196987">
      <w:pPr>
        <w:pStyle w:val="Kop2"/>
      </w:pPr>
      <w:r>
        <w:t xml:space="preserve"> </w:t>
      </w:r>
      <w:bookmarkStart w:id="256" w:name="_Toc135840040"/>
      <w:bookmarkStart w:id="257" w:name="_Toc150870645"/>
      <w:r>
        <w:t>Richtlijnen en instructies</w:t>
      </w:r>
      <w:bookmarkEnd w:id="256"/>
      <w:bookmarkEnd w:id="257"/>
    </w:p>
    <w:tbl>
      <w:tblPr>
        <w:tblStyle w:val="Tabelraster"/>
        <w:tblW w:w="5000" w:type="pct"/>
        <w:tblBorders>
          <w:insideH w:val="none" w:sz="0" w:space="0" w:color="auto"/>
        </w:tblBorders>
        <w:shd w:val="clear" w:color="auto" w:fill="FBE4D5" w:themeFill="accent2" w:themeFillTint="33"/>
        <w:tblLook w:val="04A0" w:firstRow="1" w:lastRow="0" w:firstColumn="1" w:lastColumn="0" w:noHBand="0" w:noVBand="1"/>
      </w:tblPr>
      <w:tblGrid>
        <w:gridCol w:w="8494"/>
      </w:tblGrid>
      <w:tr w:rsidR="002B1EB3" w:rsidRPr="002B1EB3" w14:paraId="0C171407" w14:textId="77777777" w:rsidTr="002B1EB3">
        <w:tc>
          <w:tcPr>
            <w:tcW w:w="5000" w:type="pct"/>
            <w:shd w:val="clear" w:color="auto" w:fill="FBE4D5" w:themeFill="accent2" w:themeFillTint="33"/>
          </w:tcPr>
          <w:p w14:paraId="46F04F18" w14:textId="104BE876" w:rsidR="002B1EB3" w:rsidRPr="002B1EB3" w:rsidRDefault="002B1EB3">
            <w:pPr>
              <w:pStyle w:val="Lijstnummering"/>
              <w:numPr>
                <w:ilvl w:val="0"/>
                <w:numId w:val="37"/>
              </w:numPr>
              <w:tabs>
                <w:tab w:val="clear" w:pos="360"/>
                <w:tab w:val="num" w:pos="306"/>
              </w:tabs>
              <w:ind w:left="306" w:hanging="306"/>
            </w:pPr>
            <w:r w:rsidRPr="002B1EB3">
              <w:t>Om de centrale doelstelling van het charter – met name het verbeteren van de toegang van kmo’s tot overheidsopdrachten – te bestendigen, w</w:t>
            </w:r>
            <w:r w:rsidR="006C1932">
              <w:t>erd</w:t>
            </w:r>
            <w:r w:rsidRPr="002B1EB3">
              <w:t xml:space="preserve"> de wetgeving van een update voorzien inzake rapporteringsverplichtingen om zo te komen tot een kwaliteitsvolle monitoring overheidsopdrachten. Voorzie dan ook als aanbesteder – waar nodig, nuttig of verplicht – de gevraagde informatie opdat het beleid en de praktijk inzake (kmo-participatie bij) overheidsopdrachten correct geëvalueerd en de juiste aanbevelingen geformuleerd kunnen worden. </w:t>
            </w:r>
          </w:p>
        </w:tc>
      </w:tr>
      <w:tr w:rsidR="002B1EB3" w:rsidRPr="002B1EB3" w14:paraId="6F0FD2BC" w14:textId="77777777" w:rsidTr="002B1EB3">
        <w:tc>
          <w:tcPr>
            <w:tcW w:w="5000" w:type="pct"/>
            <w:shd w:val="clear" w:color="auto" w:fill="FBE4D5" w:themeFill="accent2" w:themeFillTint="33"/>
          </w:tcPr>
          <w:p w14:paraId="6C680EE2" w14:textId="77777777" w:rsidR="002B1EB3" w:rsidRPr="002B1EB3" w:rsidRDefault="002B1EB3" w:rsidP="0031466A">
            <w:pPr>
              <w:pStyle w:val="Indent1"/>
            </w:pPr>
            <w:r w:rsidRPr="002B1EB3">
              <w:t>De verhoging van de deelname van kmo’s aan overheidsopdrachten moet evenwel voortkomen uit de toepassing van de principes en een verhoogde bewustwording van de problematiek, en niet uit discriminatie op basis van ondernemingsgrootte.</w:t>
            </w:r>
          </w:p>
        </w:tc>
      </w:tr>
      <w:tr w:rsidR="002B1EB3" w:rsidRPr="002B1EB3" w14:paraId="21B4850C" w14:textId="77777777" w:rsidTr="002B1EB3">
        <w:tc>
          <w:tcPr>
            <w:tcW w:w="5000" w:type="pct"/>
            <w:shd w:val="clear" w:color="auto" w:fill="FBE4D5" w:themeFill="accent2" w:themeFillTint="33"/>
          </w:tcPr>
          <w:p w14:paraId="4D146005" w14:textId="77777777" w:rsidR="002B1EB3" w:rsidRPr="002B1EB3" w:rsidRDefault="002B1EB3">
            <w:pPr>
              <w:pStyle w:val="Lijstnummering"/>
            </w:pPr>
            <w:r w:rsidRPr="002B1EB3">
              <w:t>In het kader van een verdere ontwikkeling van een kwaliteitsvolle monitoring (van de toegang van kmo’s bij) overheidsopdrachten worden volgende thema’s verder uitgewerkt en bestudeerd:</w:t>
            </w:r>
          </w:p>
        </w:tc>
      </w:tr>
      <w:tr w:rsidR="002B1EB3" w:rsidRPr="002B1EB3" w14:paraId="107FF92A" w14:textId="77777777" w:rsidTr="002B1EB3">
        <w:tc>
          <w:tcPr>
            <w:tcW w:w="5000" w:type="pct"/>
            <w:shd w:val="clear" w:color="auto" w:fill="FBE4D5" w:themeFill="accent2" w:themeFillTint="33"/>
          </w:tcPr>
          <w:p w14:paraId="2560E00C" w14:textId="77777777" w:rsidR="002B1EB3" w:rsidRPr="003F713E" w:rsidRDefault="002B1EB3" w:rsidP="00513453">
            <w:pPr>
              <w:pStyle w:val="Bullet3"/>
              <w:rPr>
                <w:lang w:val="nl-BE"/>
              </w:rPr>
            </w:pPr>
            <w:r w:rsidRPr="003F713E">
              <w:rPr>
                <w:lang w:val="nl-BE"/>
              </w:rPr>
              <w:t>de verdere wettelijke verankering van het gebruik (en indien nodig verfijning) van de subcategorieën van de Europese kmo-definitie;</w:t>
            </w:r>
          </w:p>
        </w:tc>
      </w:tr>
      <w:tr w:rsidR="002B1EB3" w:rsidRPr="002B1EB3" w14:paraId="7A1E18F0" w14:textId="77777777" w:rsidTr="002B1EB3">
        <w:tc>
          <w:tcPr>
            <w:tcW w:w="5000" w:type="pct"/>
            <w:shd w:val="clear" w:color="auto" w:fill="FBE4D5" w:themeFill="accent2" w:themeFillTint="33"/>
          </w:tcPr>
          <w:p w14:paraId="18867AB4" w14:textId="77777777" w:rsidR="002B1EB3" w:rsidRPr="003F713E" w:rsidRDefault="002B1EB3" w:rsidP="00513453">
            <w:pPr>
              <w:pStyle w:val="Bullet3"/>
              <w:rPr>
                <w:lang w:val="nl-BE"/>
              </w:rPr>
            </w:pPr>
            <w:r w:rsidRPr="003F713E">
              <w:rPr>
                <w:lang w:val="nl-BE"/>
              </w:rPr>
              <w:t xml:space="preserve">het verzamelen van cijfers over onderaanneming bij overheidsopdrachten; en </w:t>
            </w:r>
          </w:p>
        </w:tc>
      </w:tr>
      <w:tr w:rsidR="002B1EB3" w:rsidRPr="00A82495" w14:paraId="41E58148" w14:textId="77777777" w:rsidTr="002B1EB3">
        <w:tc>
          <w:tcPr>
            <w:tcW w:w="5000" w:type="pct"/>
            <w:shd w:val="clear" w:color="auto" w:fill="FBE4D5" w:themeFill="accent2" w:themeFillTint="33"/>
          </w:tcPr>
          <w:p w14:paraId="6FAFAF50" w14:textId="3583AC5E" w:rsidR="002B1EB3" w:rsidRPr="00262976" w:rsidRDefault="002B1EB3" w:rsidP="00513453">
            <w:pPr>
              <w:pStyle w:val="Bullet3"/>
              <w:rPr>
                <w:lang w:val="nl-BE"/>
              </w:rPr>
            </w:pPr>
            <w:r w:rsidRPr="00262976">
              <w:rPr>
                <w:lang w:val="nl-BE"/>
              </w:rPr>
              <w:t>het concept “becijferde doelstellingen”.</w:t>
            </w:r>
          </w:p>
        </w:tc>
      </w:tr>
      <w:tr w:rsidR="002B1EB3" w:rsidRPr="002B1EB3" w14:paraId="5E512C00" w14:textId="77777777" w:rsidTr="002B1EB3">
        <w:tc>
          <w:tcPr>
            <w:tcW w:w="5000" w:type="pct"/>
            <w:shd w:val="clear" w:color="auto" w:fill="FBE4D5" w:themeFill="accent2" w:themeFillTint="33"/>
          </w:tcPr>
          <w:p w14:paraId="1C9D6C51" w14:textId="34E93D8D" w:rsidR="002B1EB3" w:rsidRPr="002B1EB3" w:rsidRDefault="002B1EB3">
            <w:pPr>
              <w:pStyle w:val="Lijstnummering"/>
            </w:pPr>
            <w:r w:rsidRPr="002B1EB3">
              <w:lastRenderedPageBreak/>
              <w:t>Een samenwerking tussen het dienstencentrum “</w:t>
            </w:r>
            <w:r w:rsidR="00262976">
              <w:t>P</w:t>
            </w:r>
            <w:r w:rsidRPr="002B1EB3">
              <w:t xml:space="preserve">rocurement” van de FOD BOSA, het SFA en de FOD Economie verzekert de opvolging van en de rapportage over de toepassing van het charter en de kmo-participatie bij (federale) overheidsopdrachten. </w:t>
            </w:r>
          </w:p>
        </w:tc>
      </w:tr>
    </w:tbl>
    <w:p w14:paraId="5AF90F14" w14:textId="2EA1DDC7" w:rsidR="00D03C93" w:rsidRPr="0089222F" w:rsidRDefault="00C51EA0" w:rsidP="0089222F">
      <w:pPr>
        <w:pStyle w:val="Kop1"/>
        <w:numPr>
          <w:ilvl w:val="0"/>
          <w:numId w:val="0"/>
        </w:numPr>
        <w:ind w:left="431" w:hanging="431"/>
      </w:pPr>
      <w:bookmarkStart w:id="258" w:name="_Toc132703183"/>
      <w:bookmarkStart w:id="259" w:name="_Toc135840041"/>
      <w:bookmarkStart w:id="260" w:name="_Toc150870646"/>
      <w:r w:rsidRPr="0089222F">
        <w:t>Bijlagen</w:t>
      </w:r>
      <w:bookmarkEnd w:id="258"/>
      <w:bookmarkEnd w:id="259"/>
      <w:bookmarkEnd w:id="260"/>
    </w:p>
    <w:p w14:paraId="0374F14A" w14:textId="77777777" w:rsidR="00683EB3" w:rsidRPr="00D212D6" w:rsidRDefault="00683EB3" w:rsidP="00683EB3">
      <w:pPr>
        <w:pStyle w:val="Kop4"/>
        <w:rPr>
          <w:lang w:val="nl-BE"/>
        </w:rPr>
      </w:pPr>
      <w:r w:rsidRPr="00D212D6">
        <w:rPr>
          <w:lang w:val="nl-BE"/>
        </w:rPr>
        <w:t>Bijlage 1 – Overzicht relevante w</w:t>
      </w:r>
      <w:r>
        <w:rPr>
          <w:lang w:val="nl-BE"/>
        </w:rPr>
        <w:t>etgeving overheidsopdrachten – Per principe</w:t>
      </w:r>
    </w:p>
    <w:tbl>
      <w:tblPr>
        <w:tblStyle w:val="Tabelraster"/>
        <w:tblW w:w="4994" w:type="pct"/>
        <w:tblLook w:val="04A0" w:firstRow="1" w:lastRow="0" w:firstColumn="1" w:lastColumn="0" w:noHBand="0" w:noVBand="1"/>
      </w:tblPr>
      <w:tblGrid>
        <w:gridCol w:w="2963"/>
        <w:gridCol w:w="1376"/>
        <w:gridCol w:w="1378"/>
        <w:gridCol w:w="1379"/>
        <w:gridCol w:w="1388"/>
      </w:tblGrid>
      <w:tr w:rsidR="00683EB3" w14:paraId="54437A7E" w14:textId="77777777" w:rsidTr="00BC06BC">
        <w:trPr>
          <w:tblHeader/>
        </w:trPr>
        <w:tc>
          <w:tcPr>
            <w:tcW w:w="1566" w:type="pct"/>
            <w:shd w:val="clear" w:color="auto" w:fill="D9D9D9" w:themeFill="background1" w:themeFillShade="D9"/>
          </w:tcPr>
          <w:p w14:paraId="3859685F" w14:textId="77777777" w:rsidR="00683EB3" w:rsidRPr="00D212D6" w:rsidRDefault="00683EB3" w:rsidP="00BC06BC">
            <w:pPr>
              <w:spacing w:after="60"/>
              <w:jc w:val="center"/>
            </w:pPr>
            <w:r w:rsidRPr="00D212D6">
              <w:rPr>
                <w:b/>
                <w:bCs/>
              </w:rPr>
              <w:t>Principe</w:t>
            </w:r>
          </w:p>
        </w:tc>
        <w:tc>
          <w:tcPr>
            <w:tcW w:w="858" w:type="pct"/>
            <w:shd w:val="clear" w:color="auto" w:fill="D9D9D9" w:themeFill="background1" w:themeFillShade="D9"/>
          </w:tcPr>
          <w:p w14:paraId="5905C71C" w14:textId="77777777" w:rsidR="00683EB3" w:rsidRDefault="00683EB3" w:rsidP="00BC06BC">
            <w:pPr>
              <w:spacing w:after="60"/>
              <w:jc w:val="center"/>
            </w:pPr>
            <w:r w:rsidRPr="00C52CD4">
              <w:rPr>
                <w:b/>
                <w:bCs/>
              </w:rPr>
              <w:t xml:space="preserve">Wet </w:t>
            </w:r>
            <w:hyperlink r:id="rId113" w:history="1">
              <w:r w:rsidRPr="00CC5337">
                <w:rPr>
                  <w:rStyle w:val="Hyperlink"/>
                  <w:b/>
                  <w:bCs/>
                  <w:szCs w:val="22"/>
                </w:rPr>
                <w:t>17</w:t>
              </w:r>
              <w:r w:rsidRPr="00CC5337">
                <w:rPr>
                  <w:rStyle w:val="Hyperlink"/>
                  <w:b/>
                  <w:bCs/>
                </w:rPr>
                <w:t>/06/2016</w:t>
              </w:r>
            </w:hyperlink>
          </w:p>
        </w:tc>
        <w:tc>
          <w:tcPr>
            <w:tcW w:w="859" w:type="pct"/>
            <w:shd w:val="clear" w:color="auto" w:fill="D9D9D9" w:themeFill="background1" w:themeFillShade="D9"/>
          </w:tcPr>
          <w:p w14:paraId="4DB45284" w14:textId="77777777" w:rsidR="00683EB3" w:rsidRDefault="00683EB3" w:rsidP="00BC06BC">
            <w:pPr>
              <w:spacing w:after="60"/>
              <w:jc w:val="center"/>
            </w:pPr>
            <w:r w:rsidRPr="00C52CD4">
              <w:rPr>
                <w:b/>
                <w:bCs/>
              </w:rPr>
              <w:t xml:space="preserve">KB </w:t>
            </w:r>
            <w:r>
              <w:rPr>
                <w:b/>
                <w:bCs/>
              </w:rPr>
              <w:t xml:space="preserve">Plaatsing </w:t>
            </w:r>
            <w:hyperlink r:id="rId114" w:history="1">
              <w:r w:rsidRPr="00922013">
                <w:rPr>
                  <w:rStyle w:val="Hyperlink"/>
                  <w:b/>
                  <w:bCs/>
                  <w:szCs w:val="22"/>
                </w:rPr>
                <w:t>18/04/2017</w:t>
              </w:r>
            </w:hyperlink>
          </w:p>
        </w:tc>
        <w:tc>
          <w:tcPr>
            <w:tcW w:w="859" w:type="pct"/>
            <w:shd w:val="clear" w:color="auto" w:fill="D9D9D9" w:themeFill="background1" w:themeFillShade="D9"/>
          </w:tcPr>
          <w:p w14:paraId="19CE6786" w14:textId="77777777" w:rsidR="00683EB3" w:rsidRDefault="00683EB3" w:rsidP="00BC06BC">
            <w:pPr>
              <w:spacing w:after="60"/>
              <w:jc w:val="center"/>
            </w:pPr>
            <w:r w:rsidRPr="00C52CD4">
              <w:rPr>
                <w:b/>
                <w:bCs/>
              </w:rPr>
              <w:t xml:space="preserve">KB </w:t>
            </w:r>
            <w:r>
              <w:rPr>
                <w:b/>
                <w:bCs/>
              </w:rPr>
              <w:t xml:space="preserve">AUR </w:t>
            </w:r>
            <w:hyperlink r:id="rId115" w:history="1">
              <w:r w:rsidRPr="00922013">
                <w:rPr>
                  <w:rStyle w:val="Hyperlink"/>
                  <w:b/>
                  <w:bCs/>
                  <w:szCs w:val="22"/>
                </w:rPr>
                <w:t>14/01/2013</w:t>
              </w:r>
            </w:hyperlink>
          </w:p>
        </w:tc>
        <w:tc>
          <w:tcPr>
            <w:tcW w:w="859" w:type="pct"/>
            <w:shd w:val="clear" w:color="auto" w:fill="D9D9D9" w:themeFill="background1" w:themeFillShade="D9"/>
          </w:tcPr>
          <w:p w14:paraId="1E6643CB" w14:textId="77777777" w:rsidR="00683EB3" w:rsidRDefault="00683EB3" w:rsidP="00BC06BC">
            <w:pPr>
              <w:spacing w:after="60"/>
              <w:jc w:val="center"/>
            </w:pPr>
            <w:r w:rsidRPr="00C52CD4">
              <w:rPr>
                <w:b/>
                <w:bCs/>
              </w:rPr>
              <w:t>Andere</w:t>
            </w:r>
          </w:p>
        </w:tc>
      </w:tr>
      <w:tr w:rsidR="00683EB3" w14:paraId="75B3AC9D" w14:textId="77777777" w:rsidTr="00BC06BC">
        <w:tc>
          <w:tcPr>
            <w:tcW w:w="1566" w:type="pct"/>
          </w:tcPr>
          <w:p w14:paraId="3BBF1302" w14:textId="77777777" w:rsidR="00683EB3" w:rsidRPr="00D212D6" w:rsidRDefault="00683EB3" w:rsidP="00BC06BC">
            <w:pPr>
              <w:jc w:val="left"/>
            </w:pPr>
            <w:r w:rsidRPr="00D212D6">
              <w:rPr>
                <w:i/>
                <w:iCs/>
              </w:rPr>
              <w:t>Federaal aankoopbeleid</w:t>
            </w:r>
          </w:p>
        </w:tc>
        <w:tc>
          <w:tcPr>
            <w:tcW w:w="858" w:type="pct"/>
          </w:tcPr>
          <w:p w14:paraId="2C490866" w14:textId="77777777" w:rsidR="00683EB3" w:rsidRDefault="00683EB3" w:rsidP="00BC06BC">
            <w:pPr>
              <w:jc w:val="left"/>
            </w:pPr>
            <w:r>
              <w:t>/</w:t>
            </w:r>
          </w:p>
        </w:tc>
        <w:tc>
          <w:tcPr>
            <w:tcW w:w="859" w:type="pct"/>
          </w:tcPr>
          <w:p w14:paraId="08D3EE46" w14:textId="77777777" w:rsidR="00683EB3" w:rsidRDefault="00683EB3" w:rsidP="00BC06BC">
            <w:pPr>
              <w:jc w:val="left"/>
            </w:pPr>
            <w:r>
              <w:t>/</w:t>
            </w:r>
          </w:p>
        </w:tc>
        <w:tc>
          <w:tcPr>
            <w:tcW w:w="859" w:type="pct"/>
          </w:tcPr>
          <w:p w14:paraId="4568B644" w14:textId="77777777" w:rsidR="00683EB3" w:rsidRDefault="00683EB3" w:rsidP="00BC06BC">
            <w:pPr>
              <w:jc w:val="left"/>
            </w:pPr>
            <w:r>
              <w:t>/</w:t>
            </w:r>
          </w:p>
        </w:tc>
        <w:tc>
          <w:tcPr>
            <w:tcW w:w="859" w:type="pct"/>
          </w:tcPr>
          <w:p w14:paraId="5D252971" w14:textId="77777777" w:rsidR="00683EB3" w:rsidRDefault="00683EB3" w:rsidP="00BC06BC">
            <w:pPr>
              <w:jc w:val="left"/>
            </w:pPr>
            <w:r>
              <w:rPr>
                <w:i/>
                <w:iCs/>
              </w:rPr>
              <w:t xml:space="preserve">KB van </w:t>
            </w:r>
            <w:hyperlink r:id="rId116" w:history="1">
              <w:r w:rsidRPr="00E75708">
                <w:rPr>
                  <w:rStyle w:val="Hyperlink"/>
                  <w:i/>
                  <w:iCs/>
                  <w:szCs w:val="22"/>
                </w:rPr>
                <w:t>21/07/2023</w:t>
              </w:r>
            </w:hyperlink>
          </w:p>
        </w:tc>
      </w:tr>
      <w:tr w:rsidR="00683EB3" w14:paraId="7EC95A18" w14:textId="77777777" w:rsidTr="00BC06BC">
        <w:tc>
          <w:tcPr>
            <w:tcW w:w="1566" w:type="pct"/>
          </w:tcPr>
          <w:p w14:paraId="08F1F7B4" w14:textId="77777777" w:rsidR="00683EB3" w:rsidRPr="00D212D6" w:rsidRDefault="00683EB3" w:rsidP="00BC06BC">
            <w:pPr>
              <w:pStyle w:val="Lijstalinea"/>
              <w:numPr>
                <w:ilvl w:val="0"/>
                <w:numId w:val="49"/>
              </w:numPr>
              <w:ind w:left="306" w:hanging="284"/>
            </w:pPr>
            <w:r w:rsidRPr="00D212D6">
              <w:t>Naar een optimaal gebruik van elektronische (communicatie-)middelen</w:t>
            </w:r>
          </w:p>
        </w:tc>
        <w:tc>
          <w:tcPr>
            <w:tcW w:w="858" w:type="pct"/>
          </w:tcPr>
          <w:p w14:paraId="45B860D3" w14:textId="77777777" w:rsidR="00683EB3" w:rsidRPr="00796BF5" w:rsidRDefault="00683EB3" w:rsidP="00BC06BC">
            <w:pPr>
              <w:spacing w:before="0"/>
              <w:contextualSpacing/>
              <w:jc w:val="left"/>
              <w:rPr>
                <w:lang w:val="en-US"/>
              </w:rPr>
            </w:pPr>
            <w:r w:rsidRPr="00796BF5">
              <w:rPr>
                <w:rFonts w:eastAsia="Lato" w:cs="Lato"/>
                <w:lang w:val="en-US"/>
              </w:rPr>
              <w:t>Art. 2 (41°, 42°)</w:t>
            </w:r>
          </w:p>
          <w:p w14:paraId="4D674D7A" w14:textId="77777777" w:rsidR="00683EB3" w:rsidRPr="00796BF5" w:rsidRDefault="00683EB3" w:rsidP="00BC06BC">
            <w:pPr>
              <w:spacing w:before="0"/>
              <w:contextualSpacing/>
              <w:jc w:val="left"/>
              <w:rPr>
                <w:rFonts w:eastAsia="Lato" w:cs="Lato"/>
                <w:lang w:val="en-US"/>
              </w:rPr>
            </w:pPr>
            <w:r w:rsidRPr="00796BF5">
              <w:rPr>
                <w:rFonts w:eastAsia="Lato" w:cs="Lato"/>
                <w:b/>
                <w:bCs/>
                <w:lang w:val="en-US"/>
              </w:rPr>
              <w:t>Art. 14</w:t>
            </w:r>
            <w:r w:rsidRPr="00796BF5">
              <w:rPr>
                <w:rFonts w:eastAsia="Lato" w:cs="Lato"/>
                <w:lang w:val="en-US"/>
              </w:rPr>
              <w:t xml:space="preserve">, </w:t>
            </w:r>
            <w:r w:rsidRPr="00796BF5">
              <w:rPr>
                <w:rFonts w:eastAsia="Lato" w:cs="Lato"/>
                <w:b/>
                <w:bCs/>
                <w:lang w:val="en-US"/>
              </w:rPr>
              <w:t>14/1</w:t>
            </w:r>
            <w:r>
              <w:rPr>
                <w:rFonts w:eastAsia="Lato" w:cs="Lato"/>
                <w:b/>
                <w:bCs/>
                <w:lang w:val="en-US"/>
              </w:rPr>
              <w:t xml:space="preserve">, </w:t>
            </w:r>
            <w:r w:rsidRPr="00796BF5">
              <w:rPr>
                <w:rFonts w:eastAsia="Lato" w:cs="Lato"/>
                <w:lang w:val="en-US"/>
              </w:rPr>
              <w:t>14/2</w:t>
            </w:r>
          </w:p>
          <w:p w14:paraId="0F141E76" w14:textId="77777777" w:rsidR="00683EB3" w:rsidRPr="00796BF5" w:rsidRDefault="00683EB3" w:rsidP="00BC06BC">
            <w:pPr>
              <w:spacing w:before="0"/>
              <w:contextualSpacing/>
              <w:jc w:val="left"/>
              <w:rPr>
                <w:rFonts w:eastAsia="Lato" w:cs="Lato"/>
                <w:lang w:val="en-US"/>
              </w:rPr>
            </w:pPr>
            <w:r w:rsidRPr="00796BF5">
              <w:rPr>
                <w:rFonts w:eastAsia="Lato" w:cs="Lato"/>
                <w:lang w:val="en-US"/>
              </w:rPr>
              <w:t>Art. 26</w:t>
            </w:r>
          </w:p>
          <w:p w14:paraId="11E13FE1" w14:textId="77777777" w:rsidR="00683EB3" w:rsidRPr="00796BF5" w:rsidRDefault="00683EB3" w:rsidP="00BC06BC">
            <w:pPr>
              <w:spacing w:before="0"/>
              <w:contextualSpacing/>
              <w:jc w:val="left"/>
              <w:rPr>
                <w:rFonts w:eastAsia="Lato" w:cs="Lato"/>
                <w:lang w:val="en-US"/>
              </w:rPr>
            </w:pPr>
            <w:r w:rsidRPr="00796BF5">
              <w:rPr>
                <w:rFonts w:eastAsia="Lato" w:cs="Lato"/>
                <w:lang w:val="en-US"/>
              </w:rPr>
              <w:t>Art. 64</w:t>
            </w:r>
          </w:p>
          <w:p w14:paraId="095C5842" w14:textId="77777777" w:rsidR="00683EB3" w:rsidRPr="00D212D6" w:rsidRDefault="00683EB3" w:rsidP="00BC06BC">
            <w:pPr>
              <w:spacing w:before="0"/>
              <w:contextualSpacing/>
              <w:jc w:val="left"/>
              <w:rPr>
                <w:rFonts w:eastAsia="Lato" w:cs="Lato"/>
                <w:b/>
                <w:bCs/>
                <w:lang w:val="en-US"/>
              </w:rPr>
            </w:pPr>
            <w:r w:rsidRPr="00D212D6">
              <w:rPr>
                <w:rFonts w:eastAsia="Lato" w:cs="Lato"/>
                <w:b/>
                <w:bCs/>
                <w:lang w:val="en-US"/>
              </w:rPr>
              <w:t>Art. 73</w:t>
            </w:r>
          </w:p>
          <w:p w14:paraId="36B29453" w14:textId="77777777" w:rsidR="00683EB3" w:rsidRDefault="00683EB3" w:rsidP="00BC06BC">
            <w:pPr>
              <w:spacing w:before="0"/>
              <w:contextualSpacing/>
              <w:jc w:val="left"/>
            </w:pPr>
            <w:r>
              <w:rPr>
                <w:rFonts w:eastAsia="Lato" w:cs="Lato"/>
              </w:rPr>
              <w:t>Art. 76</w:t>
            </w:r>
          </w:p>
        </w:tc>
        <w:tc>
          <w:tcPr>
            <w:tcW w:w="859" w:type="pct"/>
          </w:tcPr>
          <w:p w14:paraId="7BF0FE67" w14:textId="77777777" w:rsidR="00683EB3" w:rsidRPr="00796BF5" w:rsidRDefault="00683EB3" w:rsidP="00BC06BC">
            <w:pPr>
              <w:contextualSpacing/>
              <w:jc w:val="left"/>
              <w:rPr>
                <w:lang w:val="en-US"/>
              </w:rPr>
            </w:pPr>
            <w:r w:rsidRPr="00796BF5">
              <w:rPr>
                <w:lang w:val="en-US"/>
              </w:rPr>
              <w:t>Art. 8</w:t>
            </w:r>
          </w:p>
          <w:p w14:paraId="675CB5D8" w14:textId="77777777" w:rsidR="00683EB3" w:rsidRPr="00796BF5" w:rsidRDefault="00683EB3" w:rsidP="00BC06BC">
            <w:pPr>
              <w:contextualSpacing/>
              <w:jc w:val="left"/>
              <w:rPr>
                <w:b/>
                <w:bCs/>
                <w:lang w:val="en-US"/>
              </w:rPr>
            </w:pPr>
            <w:r w:rsidRPr="00796BF5">
              <w:rPr>
                <w:b/>
                <w:bCs/>
                <w:lang w:val="en-US"/>
              </w:rPr>
              <w:t>Art. 38-40</w:t>
            </w:r>
          </w:p>
          <w:p w14:paraId="6AB90631" w14:textId="77777777" w:rsidR="00683EB3" w:rsidRPr="00796BF5" w:rsidRDefault="00683EB3" w:rsidP="00BC06BC">
            <w:pPr>
              <w:contextualSpacing/>
              <w:jc w:val="left"/>
              <w:rPr>
                <w:lang w:val="en-US"/>
              </w:rPr>
            </w:pPr>
            <w:r w:rsidRPr="00796BF5">
              <w:rPr>
                <w:lang w:val="en-US"/>
              </w:rPr>
              <w:t>Art. 41-47</w:t>
            </w:r>
          </w:p>
          <w:p w14:paraId="572F8720" w14:textId="77777777" w:rsidR="00683EB3" w:rsidRPr="00796BF5" w:rsidRDefault="00683EB3" w:rsidP="00BC06BC">
            <w:pPr>
              <w:contextualSpacing/>
              <w:jc w:val="left"/>
              <w:rPr>
                <w:lang w:val="en-US"/>
              </w:rPr>
            </w:pPr>
            <w:r w:rsidRPr="00796BF5">
              <w:rPr>
                <w:lang w:val="en-US"/>
              </w:rPr>
              <w:t>Art. 84-85</w:t>
            </w:r>
          </w:p>
          <w:p w14:paraId="555FC418" w14:textId="77777777" w:rsidR="00683EB3" w:rsidRPr="00917BDB" w:rsidRDefault="00683EB3" w:rsidP="00BC06BC">
            <w:pPr>
              <w:contextualSpacing/>
              <w:jc w:val="left"/>
              <w:rPr>
                <w:lang w:val="en-US"/>
              </w:rPr>
            </w:pPr>
            <w:r w:rsidRPr="00917BDB">
              <w:rPr>
                <w:lang w:val="en-US"/>
              </w:rPr>
              <w:t>Art</w:t>
            </w:r>
            <w:r>
              <w:rPr>
                <w:lang w:val="en-US"/>
              </w:rPr>
              <w:t>.</w:t>
            </w:r>
            <w:r w:rsidRPr="00917BDB">
              <w:rPr>
                <w:lang w:val="en-US"/>
              </w:rPr>
              <w:t xml:space="preserve"> 126, </w:t>
            </w:r>
          </w:p>
          <w:p w14:paraId="55F2B505" w14:textId="77777777" w:rsidR="00683EB3" w:rsidRDefault="00683EB3" w:rsidP="00BC06BC">
            <w:pPr>
              <w:contextualSpacing/>
              <w:jc w:val="left"/>
            </w:pPr>
            <w:r w:rsidRPr="00917BDB">
              <w:rPr>
                <w:lang w:val="en-US"/>
              </w:rPr>
              <w:t>Art</w:t>
            </w:r>
            <w:r>
              <w:rPr>
                <w:lang w:val="en-US"/>
              </w:rPr>
              <w:t>.</w:t>
            </w:r>
            <w:r w:rsidRPr="00917BDB">
              <w:rPr>
                <w:lang w:val="en-US"/>
              </w:rPr>
              <w:t xml:space="preserve"> 132 </w:t>
            </w:r>
          </w:p>
        </w:tc>
        <w:tc>
          <w:tcPr>
            <w:tcW w:w="859" w:type="pct"/>
          </w:tcPr>
          <w:p w14:paraId="5B1754A9" w14:textId="77777777" w:rsidR="00683EB3" w:rsidRDefault="00683EB3" w:rsidP="00BC06BC">
            <w:pPr>
              <w:contextualSpacing/>
              <w:jc w:val="left"/>
            </w:pPr>
            <w:r>
              <w:t>Art. 10</w:t>
            </w:r>
          </w:p>
          <w:p w14:paraId="2917BB0D" w14:textId="77777777" w:rsidR="00683EB3" w:rsidRDefault="00683EB3" w:rsidP="00BC06BC">
            <w:pPr>
              <w:contextualSpacing/>
              <w:jc w:val="left"/>
            </w:pPr>
            <w:r>
              <w:t>Art. 35</w:t>
            </w:r>
          </w:p>
        </w:tc>
        <w:tc>
          <w:tcPr>
            <w:tcW w:w="859" w:type="pct"/>
          </w:tcPr>
          <w:p w14:paraId="0E6FAB88" w14:textId="77777777" w:rsidR="00683EB3" w:rsidRDefault="00683EB3" w:rsidP="00BC06BC">
            <w:pPr>
              <w:contextualSpacing/>
              <w:jc w:val="left"/>
            </w:pPr>
            <w:r>
              <w:t xml:space="preserve">KB van </w:t>
            </w:r>
            <w:hyperlink r:id="rId117" w:history="1">
              <w:r w:rsidRPr="00E02726">
                <w:rPr>
                  <w:rStyle w:val="Hyperlink"/>
                  <w:szCs w:val="22"/>
                </w:rPr>
                <w:t>09/03/2</w:t>
              </w:r>
              <w:r w:rsidRPr="00E02726">
                <w:rPr>
                  <w:rStyle w:val="Hyperlink"/>
                </w:rPr>
                <w:t>022</w:t>
              </w:r>
            </w:hyperlink>
            <w:r>
              <w:t xml:space="preserve"> (e-facturatie)</w:t>
            </w:r>
          </w:p>
          <w:p w14:paraId="6D1430A8" w14:textId="77777777" w:rsidR="00683EB3" w:rsidRDefault="00683EB3" w:rsidP="00BC06BC">
            <w:pPr>
              <w:contextualSpacing/>
              <w:jc w:val="left"/>
            </w:pPr>
            <w:r>
              <w:t xml:space="preserve">KB van </w:t>
            </w:r>
            <w:hyperlink r:id="rId118" w:history="1">
              <w:r w:rsidRPr="00BE2147">
                <w:rPr>
                  <w:rStyle w:val="Hyperlink"/>
                  <w:szCs w:val="22"/>
                </w:rPr>
                <w:t>21/07/2023</w:t>
              </w:r>
            </w:hyperlink>
          </w:p>
          <w:p w14:paraId="3A9B9C56" w14:textId="77777777" w:rsidR="00683EB3" w:rsidRDefault="00683EB3" w:rsidP="00BC06BC">
            <w:pPr>
              <w:contextualSpacing/>
              <w:jc w:val="left"/>
            </w:pPr>
            <w:r>
              <w:t xml:space="preserve">KB van </w:t>
            </w:r>
            <w:hyperlink r:id="rId119" w:history="1">
              <w:r w:rsidRPr="00F81DDF">
                <w:rPr>
                  <w:rStyle w:val="Hyperlink"/>
                  <w:szCs w:val="22"/>
                </w:rPr>
                <w:t>04/09/2023</w:t>
              </w:r>
            </w:hyperlink>
          </w:p>
        </w:tc>
      </w:tr>
      <w:tr w:rsidR="00683EB3" w14:paraId="11FB289B" w14:textId="77777777" w:rsidTr="00BC06BC">
        <w:tc>
          <w:tcPr>
            <w:tcW w:w="1566" w:type="pct"/>
          </w:tcPr>
          <w:p w14:paraId="0D92362B" w14:textId="77777777" w:rsidR="00683EB3" w:rsidRPr="00D212D6" w:rsidRDefault="00683EB3" w:rsidP="00BC06BC">
            <w:pPr>
              <w:pStyle w:val="Lijstalinea"/>
              <w:numPr>
                <w:ilvl w:val="0"/>
                <w:numId w:val="49"/>
              </w:numPr>
              <w:ind w:left="306" w:hanging="284"/>
            </w:pPr>
            <w:r w:rsidRPr="00D212D6">
              <w:t>Behoeftebepaling, marktverkenning en een gepaste bekendmaking van opdrachten</w:t>
            </w:r>
          </w:p>
        </w:tc>
        <w:tc>
          <w:tcPr>
            <w:tcW w:w="858" w:type="pct"/>
          </w:tcPr>
          <w:p w14:paraId="3D34D561" w14:textId="77777777" w:rsidR="00683EB3" w:rsidRPr="00105414" w:rsidRDefault="00683EB3" w:rsidP="00BC06BC">
            <w:pPr>
              <w:spacing w:before="0"/>
              <w:contextualSpacing/>
              <w:jc w:val="left"/>
              <w:rPr>
                <w:lang w:val="en-US"/>
              </w:rPr>
            </w:pPr>
            <w:r w:rsidRPr="00105414">
              <w:rPr>
                <w:lang w:val="en-US"/>
              </w:rPr>
              <w:t>Art. 2 (43°)</w:t>
            </w:r>
          </w:p>
          <w:p w14:paraId="2EEAC833" w14:textId="77777777" w:rsidR="00683EB3" w:rsidRPr="00105414" w:rsidRDefault="00683EB3" w:rsidP="00BC06BC">
            <w:pPr>
              <w:spacing w:before="0"/>
              <w:contextualSpacing/>
              <w:jc w:val="left"/>
              <w:rPr>
                <w:b/>
                <w:bCs/>
                <w:lang w:val="en-US"/>
              </w:rPr>
            </w:pPr>
            <w:r w:rsidRPr="00105414">
              <w:rPr>
                <w:b/>
                <w:bCs/>
                <w:lang w:val="en-US"/>
              </w:rPr>
              <w:t xml:space="preserve">Art. 14 </w:t>
            </w:r>
          </w:p>
          <w:p w14:paraId="000F1DD4" w14:textId="77777777" w:rsidR="00683EB3" w:rsidRPr="00E90DD1" w:rsidRDefault="00683EB3" w:rsidP="00BC06BC">
            <w:pPr>
              <w:spacing w:before="0"/>
              <w:contextualSpacing/>
              <w:jc w:val="left"/>
              <w:rPr>
                <w:lang w:val="en-US"/>
              </w:rPr>
            </w:pPr>
            <w:r w:rsidRPr="00E90DD1">
              <w:rPr>
                <w:lang w:val="en-US"/>
              </w:rPr>
              <w:t>Art. 36</w:t>
            </w:r>
          </w:p>
          <w:p w14:paraId="5EF80490" w14:textId="77777777" w:rsidR="00683EB3" w:rsidRPr="00E90DD1" w:rsidRDefault="00683EB3" w:rsidP="00BC06BC">
            <w:pPr>
              <w:spacing w:before="0"/>
              <w:contextualSpacing/>
              <w:jc w:val="left"/>
              <w:rPr>
                <w:lang w:val="en-US"/>
              </w:rPr>
            </w:pPr>
            <w:r w:rsidRPr="00E90DD1">
              <w:rPr>
                <w:lang w:val="en-US"/>
              </w:rPr>
              <w:t>Art. 37</w:t>
            </w:r>
          </w:p>
          <w:p w14:paraId="6BD3EB24" w14:textId="77777777" w:rsidR="00683EB3" w:rsidRPr="00105414" w:rsidRDefault="00683EB3" w:rsidP="00BC06BC">
            <w:pPr>
              <w:spacing w:before="0"/>
              <w:contextualSpacing/>
              <w:jc w:val="left"/>
              <w:rPr>
                <w:b/>
                <w:bCs/>
                <w:lang w:val="en-US"/>
              </w:rPr>
            </w:pPr>
            <w:r w:rsidRPr="00105414">
              <w:rPr>
                <w:b/>
                <w:bCs/>
                <w:lang w:val="en-US"/>
              </w:rPr>
              <w:t>Art. 51</w:t>
            </w:r>
          </w:p>
          <w:p w14:paraId="3BF0C1F5" w14:textId="77777777" w:rsidR="00683EB3" w:rsidRPr="005C3D5E" w:rsidRDefault="00683EB3" w:rsidP="00BC06BC">
            <w:pPr>
              <w:spacing w:before="0"/>
              <w:contextualSpacing/>
              <w:jc w:val="left"/>
              <w:rPr>
                <w:b/>
                <w:bCs/>
                <w:lang w:val="en-US"/>
              </w:rPr>
            </w:pPr>
            <w:r w:rsidRPr="005C3D5E">
              <w:rPr>
                <w:b/>
                <w:bCs/>
                <w:lang w:val="en-US"/>
              </w:rPr>
              <w:t>Art. 52</w:t>
            </w:r>
          </w:p>
          <w:p w14:paraId="1E4DB3D7" w14:textId="77777777" w:rsidR="00683EB3" w:rsidRPr="00105414" w:rsidRDefault="00683EB3" w:rsidP="00BC06BC">
            <w:pPr>
              <w:spacing w:before="0"/>
              <w:contextualSpacing/>
              <w:jc w:val="left"/>
              <w:rPr>
                <w:b/>
                <w:bCs/>
                <w:lang w:val="en-US"/>
              </w:rPr>
            </w:pPr>
            <w:r w:rsidRPr="00105414">
              <w:rPr>
                <w:b/>
                <w:bCs/>
                <w:lang w:val="en-US"/>
              </w:rPr>
              <w:t>Art. 59</w:t>
            </w:r>
          </w:p>
          <w:p w14:paraId="25F8FECC" w14:textId="77777777" w:rsidR="00683EB3" w:rsidRDefault="00683EB3" w:rsidP="00BC06BC">
            <w:pPr>
              <w:spacing w:before="0"/>
              <w:contextualSpacing/>
              <w:jc w:val="left"/>
              <w:rPr>
                <w:b/>
                <w:bCs/>
                <w:lang w:val="en-US"/>
              </w:rPr>
            </w:pPr>
            <w:r w:rsidRPr="00105414">
              <w:rPr>
                <w:b/>
                <w:bCs/>
                <w:lang w:val="en-US"/>
              </w:rPr>
              <w:t>Art. 60</w:t>
            </w:r>
          </w:p>
          <w:p w14:paraId="5C539AB8" w14:textId="77777777" w:rsidR="00683EB3" w:rsidRPr="00105414" w:rsidRDefault="00683EB3" w:rsidP="00BC06BC">
            <w:pPr>
              <w:spacing w:before="0"/>
              <w:contextualSpacing/>
              <w:jc w:val="left"/>
              <w:rPr>
                <w:b/>
                <w:bCs/>
                <w:lang w:val="en-US"/>
              </w:rPr>
            </w:pPr>
            <w:r>
              <w:rPr>
                <w:b/>
                <w:bCs/>
                <w:lang w:val="en-US"/>
              </w:rPr>
              <w:t>Art. 64</w:t>
            </w:r>
          </w:p>
          <w:p w14:paraId="0E63710B" w14:textId="77777777" w:rsidR="00683EB3" w:rsidRPr="00E90DD1" w:rsidRDefault="00683EB3" w:rsidP="00BC06BC">
            <w:pPr>
              <w:spacing w:before="0"/>
              <w:contextualSpacing/>
              <w:jc w:val="left"/>
              <w:rPr>
                <w:b/>
                <w:bCs/>
                <w:lang w:val="en-US"/>
              </w:rPr>
            </w:pPr>
            <w:r w:rsidRPr="00E90DD1">
              <w:rPr>
                <w:b/>
                <w:bCs/>
                <w:lang w:val="en-US"/>
              </w:rPr>
              <w:t>Art. 90</w:t>
            </w:r>
          </w:p>
          <w:p w14:paraId="17F47190" w14:textId="77777777" w:rsidR="00683EB3" w:rsidRDefault="00683EB3" w:rsidP="00BC06BC">
            <w:pPr>
              <w:spacing w:before="0"/>
              <w:contextualSpacing/>
              <w:jc w:val="left"/>
            </w:pPr>
            <w:r w:rsidRPr="00105414">
              <w:rPr>
                <w:lang w:val="en-US"/>
              </w:rPr>
              <w:t>Art. 91</w:t>
            </w:r>
          </w:p>
        </w:tc>
        <w:tc>
          <w:tcPr>
            <w:tcW w:w="859" w:type="pct"/>
          </w:tcPr>
          <w:p w14:paraId="17B56E7E" w14:textId="77777777" w:rsidR="00683EB3" w:rsidRPr="00105414" w:rsidRDefault="00683EB3" w:rsidP="00BC06BC">
            <w:pPr>
              <w:contextualSpacing/>
              <w:jc w:val="left"/>
              <w:rPr>
                <w:lang w:val="en-US"/>
              </w:rPr>
            </w:pPr>
            <w:r w:rsidRPr="00105414">
              <w:rPr>
                <w:lang w:val="en-US"/>
              </w:rPr>
              <w:t>Art. 8</w:t>
            </w:r>
            <w:r>
              <w:rPr>
                <w:lang w:val="en-US"/>
              </w:rPr>
              <w:t>-</w:t>
            </w:r>
            <w:r w:rsidRPr="00174740">
              <w:rPr>
                <w:lang w:val="en-US"/>
              </w:rPr>
              <w:t>9</w:t>
            </w:r>
          </w:p>
          <w:p w14:paraId="265C8EB3" w14:textId="77777777" w:rsidR="00683EB3" w:rsidRPr="00105414" w:rsidRDefault="00683EB3" w:rsidP="00BC06BC">
            <w:pPr>
              <w:contextualSpacing/>
              <w:jc w:val="left"/>
              <w:rPr>
                <w:lang w:val="en-US"/>
              </w:rPr>
            </w:pPr>
            <w:r w:rsidRPr="00105414">
              <w:rPr>
                <w:lang w:val="en-US"/>
              </w:rPr>
              <w:t>Art. 14</w:t>
            </w:r>
            <w:r>
              <w:rPr>
                <w:lang w:val="en-US"/>
              </w:rPr>
              <w:t>-15</w:t>
            </w:r>
          </w:p>
          <w:p w14:paraId="47DB21F9" w14:textId="77777777" w:rsidR="00683EB3" w:rsidRPr="00105414" w:rsidRDefault="00683EB3" w:rsidP="00BC06BC">
            <w:pPr>
              <w:contextualSpacing/>
              <w:jc w:val="left"/>
              <w:rPr>
                <w:lang w:val="en-US"/>
              </w:rPr>
            </w:pPr>
            <w:r w:rsidRPr="00105414">
              <w:rPr>
                <w:lang w:val="en-US"/>
              </w:rPr>
              <w:t>Art. 18</w:t>
            </w:r>
          </w:p>
          <w:p w14:paraId="3CB32918" w14:textId="77777777" w:rsidR="00683EB3" w:rsidRPr="00105414" w:rsidRDefault="00683EB3" w:rsidP="00BC06BC">
            <w:pPr>
              <w:contextualSpacing/>
              <w:jc w:val="left"/>
              <w:rPr>
                <w:lang w:val="en-US"/>
              </w:rPr>
            </w:pPr>
            <w:r w:rsidRPr="00105414">
              <w:rPr>
                <w:lang w:val="en-US"/>
              </w:rPr>
              <w:t>Art. 20</w:t>
            </w:r>
            <w:r>
              <w:rPr>
                <w:lang w:val="en-US"/>
              </w:rPr>
              <w:t>-21</w:t>
            </w:r>
          </w:p>
          <w:p w14:paraId="403C5D2D" w14:textId="77777777" w:rsidR="00683EB3" w:rsidRPr="00D212D6" w:rsidRDefault="00683EB3" w:rsidP="00BC06BC">
            <w:pPr>
              <w:contextualSpacing/>
              <w:jc w:val="left"/>
              <w:rPr>
                <w:lang w:val="en-US"/>
              </w:rPr>
            </w:pPr>
            <w:r w:rsidRPr="00BD2D2C">
              <w:rPr>
                <w:lang w:val="en-US"/>
              </w:rPr>
              <w:t>Art. 24</w:t>
            </w:r>
          </w:p>
        </w:tc>
        <w:tc>
          <w:tcPr>
            <w:tcW w:w="859" w:type="pct"/>
          </w:tcPr>
          <w:p w14:paraId="66CF70EB" w14:textId="77777777" w:rsidR="00683EB3" w:rsidRDefault="00683EB3" w:rsidP="00BC06BC">
            <w:pPr>
              <w:contextualSpacing/>
              <w:jc w:val="left"/>
            </w:pPr>
            <w:r>
              <w:t>/</w:t>
            </w:r>
          </w:p>
        </w:tc>
        <w:tc>
          <w:tcPr>
            <w:tcW w:w="859" w:type="pct"/>
          </w:tcPr>
          <w:p w14:paraId="3F2BE4F4" w14:textId="77777777" w:rsidR="00683EB3" w:rsidRDefault="00683EB3" w:rsidP="00BC06BC">
            <w:pPr>
              <w:contextualSpacing/>
              <w:jc w:val="left"/>
            </w:pPr>
            <w:r>
              <w:t>/</w:t>
            </w:r>
          </w:p>
        </w:tc>
      </w:tr>
      <w:tr w:rsidR="00683EB3" w14:paraId="5384D36A" w14:textId="77777777" w:rsidTr="00BC06BC">
        <w:tc>
          <w:tcPr>
            <w:tcW w:w="1566" w:type="pct"/>
          </w:tcPr>
          <w:p w14:paraId="6B516C1E" w14:textId="77777777" w:rsidR="00683EB3" w:rsidRPr="00D212D6" w:rsidRDefault="00683EB3" w:rsidP="00BC06BC">
            <w:pPr>
              <w:pStyle w:val="Lijstalinea"/>
              <w:numPr>
                <w:ilvl w:val="0"/>
                <w:numId w:val="49"/>
              </w:numPr>
              <w:ind w:left="306" w:hanging="284"/>
            </w:pPr>
            <w:r w:rsidRPr="00D212D6">
              <w:t>Toepassing van de twee- of meerfasige procedures en van de procedures met onderhandelings- of dialoogelementen</w:t>
            </w:r>
          </w:p>
        </w:tc>
        <w:tc>
          <w:tcPr>
            <w:tcW w:w="858" w:type="pct"/>
          </w:tcPr>
          <w:p w14:paraId="2DADA260" w14:textId="77777777" w:rsidR="00683EB3" w:rsidRDefault="00683EB3" w:rsidP="00BC06BC">
            <w:pPr>
              <w:spacing w:before="0"/>
              <w:contextualSpacing/>
              <w:jc w:val="left"/>
              <w:rPr>
                <w:rFonts w:eastAsia="Lato" w:cs="Lato"/>
                <w:lang w:val="en-US"/>
              </w:rPr>
            </w:pPr>
            <w:r w:rsidRPr="1E5D91D2">
              <w:rPr>
                <w:rFonts w:eastAsia="Lato" w:cs="Lato"/>
                <w:lang w:val="en-US"/>
              </w:rPr>
              <w:t>Art</w:t>
            </w:r>
            <w:r>
              <w:rPr>
                <w:rFonts w:eastAsia="Lato" w:cs="Lato"/>
                <w:lang w:val="en-US"/>
              </w:rPr>
              <w:t>.</w:t>
            </w:r>
            <w:r w:rsidRPr="1E5D91D2">
              <w:rPr>
                <w:rFonts w:eastAsia="Lato" w:cs="Lato"/>
                <w:lang w:val="en-US"/>
              </w:rPr>
              <w:t xml:space="preserve"> 2</w:t>
            </w:r>
            <w:r>
              <w:rPr>
                <w:rFonts w:eastAsia="Lato" w:cs="Lato"/>
                <w:lang w:val="en-US"/>
              </w:rPr>
              <w:t xml:space="preserve"> </w:t>
            </w:r>
            <w:r w:rsidRPr="1E5D91D2">
              <w:rPr>
                <w:rFonts w:eastAsia="Lato" w:cs="Lato"/>
                <w:lang w:val="en-US"/>
              </w:rPr>
              <w:t>(2</w:t>
            </w:r>
            <w:r>
              <w:rPr>
                <w:rFonts w:eastAsia="Lato" w:cs="Lato"/>
                <w:lang w:val="en-US"/>
              </w:rPr>
              <w:t>3°-30°</w:t>
            </w:r>
            <w:r w:rsidRPr="1E5D91D2">
              <w:rPr>
                <w:rFonts w:eastAsia="Lato" w:cs="Lato"/>
                <w:lang w:val="en-US"/>
              </w:rPr>
              <w:t>)</w:t>
            </w:r>
          </w:p>
          <w:p w14:paraId="793B10DE" w14:textId="77777777" w:rsidR="00683EB3" w:rsidRPr="00137F81" w:rsidRDefault="00683EB3" w:rsidP="00BC06BC">
            <w:pPr>
              <w:spacing w:before="0"/>
              <w:contextualSpacing/>
              <w:jc w:val="left"/>
              <w:rPr>
                <w:rFonts w:eastAsia="Lato" w:cs="Lato"/>
                <w:color w:val="C00000"/>
                <w:lang w:val="en-US"/>
              </w:rPr>
            </w:pPr>
            <w:r w:rsidRPr="00137F81">
              <w:rPr>
                <w:rFonts w:eastAsia="Lato" w:cs="Lato"/>
                <w:color w:val="C00000"/>
                <w:lang w:val="en-US"/>
              </w:rPr>
              <w:t>Art. 12/9</w:t>
            </w:r>
          </w:p>
          <w:p w14:paraId="6A03063D" w14:textId="77777777" w:rsidR="00683EB3" w:rsidRDefault="00683EB3" w:rsidP="00BC06BC">
            <w:pPr>
              <w:spacing w:before="0"/>
              <w:contextualSpacing/>
              <w:jc w:val="left"/>
              <w:rPr>
                <w:rFonts w:eastAsia="Lato" w:cs="Lato"/>
                <w:lang w:val="en-US"/>
              </w:rPr>
            </w:pPr>
            <w:r>
              <w:rPr>
                <w:rFonts w:eastAsia="Lato" w:cs="Lato"/>
                <w:lang w:val="en-US"/>
              </w:rPr>
              <w:t>Art. 37-42</w:t>
            </w:r>
          </w:p>
          <w:p w14:paraId="11133A17" w14:textId="77777777" w:rsidR="00683EB3" w:rsidRDefault="00683EB3" w:rsidP="00BC06BC">
            <w:pPr>
              <w:spacing w:before="0"/>
              <w:contextualSpacing/>
              <w:jc w:val="left"/>
            </w:pPr>
            <w:r>
              <w:rPr>
                <w:rFonts w:eastAsia="Lato" w:cs="Lato"/>
                <w:lang w:val="en-US"/>
              </w:rPr>
              <w:t>Art. 79-80</w:t>
            </w:r>
          </w:p>
        </w:tc>
        <w:tc>
          <w:tcPr>
            <w:tcW w:w="859" w:type="pct"/>
          </w:tcPr>
          <w:p w14:paraId="29A8355C" w14:textId="77777777" w:rsidR="00683EB3" w:rsidRDefault="00683EB3" w:rsidP="00BC06BC">
            <w:pPr>
              <w:contextualSpacing/>
              <w:jc w:val="left"/>
            </w:pPr>
            <w:r>
              <w:t>Art. 97-100</w:t>
            </w:r>
          </w:p>
          <w:p w14:paraId="3513DC52" w14:textId="77777777" w:rsidR="00683EB3" w:rsidRDefault="00683EB3" w:rsidP="00BC06BC">
            <w:pPr>
              <w:contextualSpacing/>
              <w:jc w:val="left"/>
            </w:pPr>
            <w:r>
              <w:t>Art. 119</w:t>
            </w:r>
          </w:p>
        </w:tc>
        <w:tc>
          <w:tcPr>
            <w:tcW w:w="859" w:type="pct"/>
          </w:tcPr>
          <w:p w14:paraId="55F7FDB8" w14:textId="77777777" w:rsidR="00683EB3" w:rsidRDefault="00683EB3" w:rsidP="00BC06BC">
            <w:pPr>
              <w:contextualSpacing/>
              <w:jc w:val="left"/>
            </w:pPr>
            <w:r>
              <w:t>/</w:t>
            </w:r>
          </w:p>
        </w:tc>
        <w:tc>
          <w:tcPr>
            <w:tcW w:w="859" w:type="pct"/>
          </w:tcPr>
          <w:p w14:paraId="25CD6412" w14:textId="77777777" w:rsidR="00683EB3" w:rsidRDefault="00683EB3" w:rsidP="00BC06BC">
            <w:pPr>
              <w:contextualSpacing/>
              <w:jc w:val="left"/>
            </w:pPr>
            <w:r>
              <w:t>/</w:t>
            </w:r>
          </w:p>
        </w:tc>
      </w:tr>
      <w:tr w:rsidR="00683EB3" w14:paraId="404AA973" w14:textId="77777777" w:rsidTr="00BC06BC">
        <w:tc>
          <w:tcPr>
            <w:tcW w:w="1566" w:type="pct"/>
          </w:tcPr>
          <w:p w14:paraId="29AF7149" w14:textId="77777777" w:rsidR="00683EB3" w:rsidRPr="00D212D6" w:rsidRDefault="00683EB3" w:rsidP="00BC06BC">
            <w:pPr>
              <w:pStyle w:val="Lijstalinea"/>
              <w:numPr>
                <w:ilvl w:val="0"/>
                <w:numId w:val="49"/>
              </w:numPr>
              <w:ind w:left="306" w:hanging="284"/>
            </w:pPr>
            <w:r w:rsidRPr="00D212D6">
              <w:t>Proportionele minimumeisen in het technische bestek</w:t>
            </w:r>
          </w:p>
        </w:tc>
        <w:tc>
          <w:tcPr>
            <w:tcW w:w="858" w:type="pct"/>
          </w:tcPr>
          <w:p w14:paraId="4A99C6F3" w14:textId="77777777" w:rsidR="00683EB3" w:rsidRPr="00D212D6" w:rsidRDefault="00683EB3" w:rsidP="00BC06BC">
            <w:pPr>
              <w:spacing w:before="0" w:line="257" w:lineRule="auto"/>
              <w:contextualSpacing/>
              <w:jc w:val="left"/>
              <w:rPr>
                <w:lang w:val="en-US"/>
              </w:rPr>
            </w:pPr>
            <w:r w:rsidRPr="00D212D6">
              <w:rPr>
                <w:rFonts w:eastAsia="Lato" w:cs="Lato"/>
                <w:lang w:val="en-US"/>
              </w:rPr>
              <w:t xml:space="preserve">Art. 2 (44°-48°, 50°-51°) </w:t>
            </w:r>
          </w:p>
          <w:p w14:paraId="0872326B" w14:textId="77777777" w:rsidR="00683EB3" w:rsidRPr="00D212D6" w:rsidRDefault="00683EB3" w:rsidP="00BC06BC">
            <w:pPr>
              <w:spacing w:before="0" w:line="257" w:lineRule="auto"/>
              <w:contextualSpacing/>
              <w:jc w:val="left"/>
              <w:rPr>
                <w:rFonts w:eastAsia="Lato" w:cs="Lato"/>
                <w:lang w:val="en-US"/>
              </w:rPr>
            </w:pPr>
            <w:r w:rsidRPr="00D212D6">
              <w:rPr>
                <w:rFonts w:eastAsia="Lato" w:cs="Lato"/>
                <w:lang w:val="en-US"/>
              </w:rPr>
              <w:t>Art. 38</w:t>
            </w:r>
          </w:p>
          <w:p w14:paraId="2004FA0E" w14:textId="77777777" w:rsidR="00683EB3" w:rsidRPr="00D212D6" w:rsidRDefault="00683EB3" w:rsidP="00BC06BC">
            <w:pPr>
              <w:spacing w:before="0" w:line="257" w:lineRule="auto"/>
              <w:contextualSpacing/>
              <w:jc w:val="left"/>
              <w:rPr>
                <w:lang w:val="en-US"/>
              </w:rPr>
            </w:pPr>
            <w:r w:rsidRPr="00D212D6">
              <w:rPr>
                <w:lang w:val="en-US"/>
              </w:rPr>
              <w:t>Art. 40-42</w:t>
            </w:r>
          </w:p>
          <w:p w14:paraId="79F9B3FD" w14:textId="77777777" w:rsidR="00683EB3" w:rsidRPr="00D212D6" w:rsidRDefault="00683EB3" w:rsidP="00BC06BC">
            <w:pPr>
              <w:spacing w:before="0" w:line="257" w:lineRule="auto"/>
              <w:contextualSpacing/>
              <w:jc w:val="left"/>
              <w:rPr>
                <w:b/>
                <w:bCs/>
                <w:lang w:val="en-US"/>
              </w:rPr>
            </w:pPr>
            <w:r w:rsidRPr="00D212D6">
              <w:rPr>
                <w:rFonts w:eastAsia="Lato" w:cs="Lato"/>
                <w:b/>
                <w:bCs/>
                <w:lang w:val="en-US"/>
              </w:rPr>
              <w:t>Art. 53</w:t>
            </w:r>
          </w:p>
          <w:p w14:paraId="7B7AE6FE" w14:textId="77777777" w:rsidR="00683EB3" w:rsidRPr="00D212D6" w:rsidRDefault="00683EB3" w:rsidP="00BC06BC">
            <w:pPr>
              <w:spacing w:before="0"/>
              <w:contextualSpacing/>
              <w:jc w:val="left"/>
              <w:rPr>
                <w:lang w:val="en-US"/>
              </w:rPr>
            </w:pPr>
            <w:r w:rsidRPr="00750B3C">
              <w:rPr>
                <w:rFonts w:eastAsia="Lato" w:cs="Lato"/>
                <w:b/>
                <w:bCs/>
                <w:lang w:val="en-US"/>
              </w:rPr>
              <w:t>Art. 54</w:t>
            </w:r>
          </w:p>
        </w:tc>
        <w:tc>
          <w:tcPr>
            <w:tcW w:w="859" w:type="pct"/>
          </w:tcPr>
          <w:p w14:paraId="34FCA8AB" w14:textId="77777777" w:rsidR="00683EB3" w:rsidRDefault="00683EB3" w:rsidP="00BC06BC">
            <w:pPr>
              <w:contextualSpacing/>
              <w:jc w:val="left"/>
            </w:pPr>
            <w:r>
              <w:t>Art. 68</w:t>
            </w:r>
          </w:p>
        </w:tc>
        <w:tc>
          <w:tcPr>
            <w:tcW w:w="859" w:type="pct"/>
          </w:tcPr>
          <w:p w14:paraId="5BDF6E7A" w14:textId="77777777" w:rsidR="00683EB3" w:rsidRDefault="00683EB3" w:rsidP="00BC06BC">
            <w:pPr>
              <w:contextualSpacing/>
              <w:jc w:val="left"/>
            </w:pPr>
            <w:r>
              <w:t>Art. 12/4</w:t>
            </w:r>
          </w:p>
        </w:tc>
        <w:tc>
          <w:tcPr>
            <w:tcW w:w="859" w:type="pct"/>
          </w:tcPr>
          <w:p w14:paraId="259E2DAA" w14:textId="77777777" w:rsidR="00683EB3" w:rsidRDefault="00683EB3" w:rsidP="00BC06BC">
            <w:pPr>
              <w:contextualSpacing/>
              <w:jc w:val="left"/>
            </w:pPr>
          </w:p>
        </w:tc>
      </w:tr>
      <w:tr w:rsidR="00683EB3" w14:paraId="6795C0A2" w14:textId="77777777" w:rsidTr="00BC06BC">
        <w:tc>
          <w:tcPr>
            <w:tcW w:w="1566" w:type="pct"/>
          </w:tcPr>
          <w:p w14:paraId="0B5380B0" w14:textId="77777777" w:rsidR="00683EB3" w:rsidRPr="00D212D6" w:rsidRDefault="00683EB3" w:rsidP="00BC06BC">
            <w:pPr>
              <w:pStyle w:val="Lijstalinea"/>
              <w:numPr>
                <w:ilvl w:val="0"/>
                <w:numId w:val="49"/>
              </w:numPr>
              <w:ind w:left="306" w:hanging="284"/>
            </w:pPr>
            <w:r w:rsidRPr="00D212D6">
              <w:t>Voorzien in een adequate bescherming van de rechten op intellectuele eigendom</w:t>
            </w:r>
          </w:p>
        </w:tc>
        <w:tc>
          <w:tcPr>
            <w:tcW w:w="858" w:type="pct"/>
          </w:tcPr>
          <w:p w14:paraId="1D7CA699" w14:textId="77777777" w:rsidR="00683EB3" w:rsidRDefault="00683EB3" w:rsidP="00BC06BC">
            <w:pPr>
              <w:spacing w:before="0"/>
              <w:contextualSpacing/>
              <w:jc w:val="left"/>
              <w:rPr>
                <w:b/>
                <w:bCs/>
              </w:rPr>
            </w:pPr>
            <w:r w:rsidRPr="0C45F783">
              <w:rPr>
                <w:b/>
                <w:bCs/>
              </w:rPr>
              <w:t>Art. 40</w:t>
            </w:r>
          </w:p>
          <w:p w14:paraId="520FFA12" w14:textId="77777777" w:rsidR="00683EB3" w:rsidRDefault="00683EB3" w:rsidP="00BC06BC">
            <w:pPr>
              <w:spacing w:before="0"/>
              <w:contextualSpacing/>
              <w:jc w:val="left"/>
            </w:pPr>
            <w:r w:rsidRPr="0C45F783">
              <w:rPr>
                <w:b/>
                <w:bCs/>
              </w:rPr>
              <w:t>Art. 53</w:t>
            </w:r>
          </w:p>
        </w:tc>
        <w:tc>
          <w:tcPr>
            <w:tcW w:w="859" w:type="pct"/>
          </w:tcPr>
          <w:p w14:paraId="49F9711C" w14:textId="77777777" w:rsidR="00683EB3" w:rsidRDefault="00683EB3" w:rsidP="00BC06BC">
            <w:pPr>
              <w:contextualSpacing/>
              <w:jc w:val="left"/>
              <w:rPr>
                <w:b/>
                <w:bCs/>
              </w:rPr>
            </w:pPr>
            <w:r w:rsidRPr="0C45F783">
              <w:rPr>
                <w:b/>
                <w:bCs/>
              </w:rPr>
              <w:t>Art. 30</w:t>
            </w:r>
          </w:p>
          <w:p w14:paraId="01752095" w14:textId="77777777" w:rsidR="00683EB3" w:rsidRDefault="00683EB3" w:rsidP="00BC06BC">
            <w:pPr>
              <w:contextualSpacing/>
              <w:jc w:val="left"/>
            </w:pPr>
          </w:p>
        </w:tc>
        <w:tc>
          <w:tcPr>
            <w:tcW w:w="859" w:type="pct"/>
          </w:tcPr>
          <w:p w14:paraId="056FACB4" w14:textId="77777777" w:rsidR="00683EB3" w:rsidRDefault="00683EB3" w:rsidP="00BC06BC">
            <w:pPr>
              <w:contextualSpacing/>
              <w:jc w:val="left"/>
            </w:pPr>
            <w:r w:rsidRPr="0C45F783">
              <w:rPr>
                <w:b/>
                <w:bCs/>
              </w:rPr>
              <w:t>Art. 19</w:t>
            </w:r>
            <w:r>
              <w:rPr>
                <w:b/>
                <w:bCs/>
              </w:rPr>
              <w:t>-23</w:t>
            </w:r>
          </w:p>
        </w:tc>
        <w:tc>
          <w:tcPr>
            <w:tcW w:w="859" w:type="pct"/>
          </w:tcPr>
          <w:p w14:paraId="28412E30" w14:textId="77777777" w:rsidR="00683EB3" w:rsidRDefault="00683EB3" w:rsidP="00BC06BC">
            <w:pPr>
              <w:contextualSpacing/>
              <w:jc w:val="left"/>
            </w:pPr>
            <w:r>
              <w:t>/</w:t>
            </w:r>
          </w:p>
        </w:tc>
      </w:tr>
      <w:tr w:rsidR="00683EB3" w14:paraId="5221BA5C" w14:textId="77777777" w:rsidTr="00BC06BC">
        <w:tc>
          <w:tcPr>
            <w:tcW w:w="1566" w:type="pct"/>
          </w:tcPr>
          <w:p w14:paraId="770BF58E" w14:textId="77777777" w:rsidR="00683EB3" w:rsidRPr="00D212D6" w:rsidRDefault="00683EB3" w:rsidP="00BC06BC">
            <w:pPr>
              <w:pStyle w:val="Lijstalinea"/>
              <w:numPr>
                <w:ilvl w:val="0"/>
                <w:numId w:val="49"/>
              </w:numPr>
              <w:ind w:left="306" w:hanging="284"/>
            </w:pPr>
            <w:r w:rsidRPr="00D212D6">
              <w:t>De verdeling in percelen</w:t>
            </w:r>
          </w:p>
        </w:tc>
        <w:tc>
          <w:tcPr>
            <w:tcW w:w="858" w:type="pct"/>
          </w:tcPr>
          <w:p w14:paraId="20D843EC" w14:textId="77777777" w:rsidR="00683EB3" w:rsidRPr="00D212D6" w:rsidRDefault="00683EB3" w:rsidP="00BC06BC">
            <w:pPr>
              <w:spacing w:before="0"/>
              <w:contextualSpacing/>
              <w:jc w:val="left"/>
              <w:rPr>
                <w:lang w:val="en-US"/>
              </w:rPr>
            </w:pPr>
            <w:r w:rsidRPr="00D212D6">
              <w:rPr>
                <w:lang w:val="en-US"/>
              </w:rPr>
              <w:t>Art. 2 (52°)</w:t>
            </w:r>
          </w:p>
          <w:p w14:paraId="23B2679D" w14:textId="77777777" w:rsidR="00683EB3" w:rsidRPr="00D212D6" w:rsidRDefault="00683EB3" w:rsidP="00BC06BC">
            <w:pPr>
              <w:spacing w:before="0"/>
              <w:contextualSpacing/>
              <w:jc w:val="left"/>
              <w:rPr>
                <w:b/>
                <w:bCs/>
                <w:sz w:val="18"/>
                <w:szCs w:val="18"/>
                <w:lang w:val="en-US"/>
              </w:rPr>
            </w:pPr>
            <w:r w:rsidRPr="00D212D6">
              <w:rPr>
                <w:b/>
                <w:bCs/>
                <w:lang w:val="en-US"/>
              </w:rPr>
              <w:t>Art. 15</w:t>
            </w:r>
          </w:p>
          <w:p w14:paraId="0E3DB254" w14:textId="77777777" w:rsidR="00683EB3" w:rsidRPr="00D212D6" w:rsidRDefault="00683EB3" w:rsidP="00BC06BC">
            <w:pPr>
              <w:spacing w:before="0"/>
              <w:contextualSpacing/>
              <w:jc w:val="left"/>
              <w:rPr>
                <w:b/>
                <w:bCs/>
                <w:sz w:val="14"/>
                <w:szCs w:val="14"/>
                <w:lang w:val="en-US"/>
              </w:rPr>
            </w:pPr>
            <w:r w:rsidRPr="00D212D6">
              <w:rPr>
                <w:b/>
                <w:bCs/>
                <w:sz w:val="18"/>
                <w:lang w:val="en-US"/>
              </w:rPr>
              <w:t>A</w:t>
            </w:r>
            <w:r w:rsidRPr="00D212D6">
              <w:rPr>
                <w:b/>
                <w:bCs/>
                <w:lang w:val="en-US"/>
              </w:rPr>
              <w:t>rt. 38</w:t>
            </w:r>
          </w:p>
          <w:p w14:paraId="6FEEEE25" w14:textId="77777777" w:rsidR="00683EB3" w:rsidRPr="00D212D6" w:rsidRDefault="00683EB3" w:rsidP="00BC06BC">
            <w:pPr>
              <w:spacing w:before="0"/>
              <w:contextualSpacing/>
              <w:jc w:val="left"/>
              <w:rPr>
                <w:b/>
                <w:bCs/>
                <w:lang w:val="en-US"/>
              </w:rPr>
            </w:pPr>
            <w:r w:rsidRPr="00D212D6">
              <w:rPr>
                <w:b/>
                <w:bCs/>
                <w:lang w:val="en-US"/>
              </w:rPr>
              <w:t>Art. 58</w:t>
            </w:r>
          </w:p>
          <w:p w14:paraId="3C32F309" w14:textId="77777777" w:rsidR="00683EB3" w:rsidRPr="00D212D6" w:rsidRDefault="00683EB3" w:rsidP="00BC06BC">
            <w:pPr>
              <w:spacing w:before="0"/>
              <w:contextualSpacing/>
              <w:jc w:val="left"/>
              <w:rPr>
                <w:b/>
                <w:bCs/>
                <w:lang w:val="en-US"/>
              </w:rPr>
            </w:pPr>
            <w:r w:rsidRPr="00D212D6">
              <w:rPr>
                <w:b/>
                <w:bCs/>
                <w:lang w:val="en-US"/>
              </w:rPr>
              <w:t>Art. 91</w:t>
            </w:r>
          </w:p>
          <w:p w14:paraId="09A261D6" w14:textId="77777777" w:rsidR="00683EB3" w:rsidRDefault="00683EB3" w:rsidP="00BC06BC">
            <w:pPr>
              <w:spacing w:before="0"/>
              <w:contextualSpacing/>
              <w:jc w:val="left"/>
            </w:pPr>
            <w:r w:rsidRPr="00511536">
              <w:t>Art. 164</w:t>
            </w:r>
          </w:p>
        </w:tc>
        <w:tc>
          <w:tcPr>
            <w:tcW w:w="859" w:type="pct"/>
          </w:tcPr>
          <w:p w14:paraId="358FFFBF" w14:textId="77777777" w:rsidR="00683EB3" w:rsidRPr="00E60072" w:rsidRDefault="00683EB3" w:rsidP="00BC06BC">
            <w:pPr>
              <w:contextualSpacing/>
              <w:jc w:val="left"/>
              <w:rPr>
                <w:b/>
                <w:bCs/>
              </w:rPr>
            </w:pPr>
            <w:r w:rsidRPr="00E60072">
              <w:rPr>
                <w:b/>
                <w:bCs/>
              </w:rPr>
              <w:t>Art. 7</w:t>
            </w:r>
          </w:p>
          <w:p w14:paraId="70531448" w14:textId="77777777" w:rsidR="00683EB3" w:rsidRPr="007618CC" w:rsidRDefault="00683EB3" w:rsidP="00BC06BC">
            <w:pPr>
              <w:contextualSpacing/>
              <w:jc w:val="left"/>
              <w:rPr>
                <w:b/>
                <w:bCs/>
              </w:rPr>
            </w:pPr>
            <w:r w:rsidRPr="007618CC">
              <w:rPr>
                <w:b/>
                <w:bCs/>
              </w:rPr>
              <w:t>Art. 12</w:t>
            </w:r>
          </w:p>
          <w:p w14:paraId="3E3DFC73" w14:textId="77777777" w:rsidR="00683EB3" w:rsidRPr="00511536" w:rsidRDefault="00683EB3" w:rsidP="00BC06BC">
            <w:pPr>
              <w:contextualSpacing/>
              <w:jc w:val="left"/>
              <w:rPr>
                <w:b/>
                <w:bCs/>
              </w:rPr>
            </w:pPr>
            <w:r w:rsidRPr="00511536">
              <w:rPr>
                <w:b/>
                <w:bCs/>
              </w:rPr>
              <w:t>Art. 49-50</w:t>
            </w:r>
          </w:p>
          <w:p w14:paraId="6B0AB000" w14:textId="77777777" w:rsidR="00683EB3" w:rsidRDefault="00683EB3" w:rsidP="00BC06BC">
            <w:pPr>
              <w:contextualSpacing/>
              <w:jc w:val="left"/>
            </w:pPr>
            <w:r w:rsidRPr="00511536">
              <w:t>Art. 67</w:t>
            </w:r>
          </w:p>
        </w:tc>
        <w:tc>
          <w:tcPr>
            <w:tcW w:w="859" w:type="pct"/>
          </w:tcPr>
          <w:p w14:paraId="140EE33E" w14:textId="77777777" w:rsidR="00683EB3" w:rsidRDefault="00683EB3" w:rsidP="00BC06BC">
            <w:pPr>
              <w:contextualSpacing/>
              <w:jc w:val="left"/>
            </w:pPr>
            <w:r>
              <w:t>Art. 17</w:t>
            </w:r>
          </w:p>
        </w:tc>
        <w:tc>
          <w:tcPr>
            <w:tcW w:w="859" w:type="pct"/>
          </w:tcPr>
          <w:p w14:paraId="1A308317" w14:textId="77777777" w:rsidR="00683EB3" w:rsidRDefault="00683EB3" w:rsidP="00BC06BC">
            <w:pPr>
              <w:contextualSpacing/>
              <w:jc w:val="left"/>
            </w:pPr>
            <w:r>
              <w:t xml:space="preserve">KB van </w:t>
            </w:r>
            <w:hyperlink r:id="rId120" w:history="1">
              <w:r w:rsidRPr="00360892">
                <w:rPr>
                  <w:rStyle w:val="Hyperlink"/>
                  <w:szCs w:val="22"/>
                </w:rPr>
                <w:t>2</w:t>
              </w:r>
              <w:r w:rsidRPr="00360892">
                <w:rPr>
                  <w:rStyle w:val="Hyperlink"/>
                </w:rPr>
                <w:t>0/05/2022</w:t>
              </w:r>
            </w:hyperlink>
            <w:r>
              <w:t xml:space="preserve"> – </w:t>
            </w:r>
            <w:r w:rsidRPr="00E351B3">
              <w:rPr>
                <w:b/>
                <w:bCs/>
              </w:rPr>
              <w:t>Art. 19</w:t>
            </w:r>
            <w:r>
              <w:t xml:space="preserve"> (voorafgaand advies IF)</w:t>
            </w:r>
          </w:p>
        </w:tc>
      </w:tr>
      <w:tr w:rsidR="00683EB3" w14:paraId="6B4561F9" w14:textId="77777777" w:rsidTr="00BC06BC">
        <w:tc>
          <w:tcPr>
            <w:tcW w:w="1566" w:type="pct"/>
          </w:tcPr>
          <w:p w14:paraId="72F72D51" w14:textId="77777777" w:rsidR="00683EB3" w:rsidRPr="00D212D6" w:rsidRDefault="00683EB3" w:rsidP="00BC06BC">
            <w:pPr>
              <w:pStyle w:val="Lijstalinea"/>
              <w:numPr>
                <w:ilvl w:val="0"/>
                <w:numId w:val="49"/>
              </w:numPr>
              <w:ind w:left="306" w:hanging="284"/>
            </w:pPr>
            <w:r w:rsidRPr="00D212D6">
              <w:lastRenderedPageBreak/>
              <w:t>Het gebruik van varianten</w:t>
            </w:r>
          </w:p>
        </w:tc>
        <w:tc>
          <w:tcPr>
            <w:tcW w:w="858" w:type="pct"/>
          </w:tcPr>
          <w:p w14:paraId="0F926AB9" w14:textId="77777777" w:rsidR="00683EB3" w:rsidRDefault="00683EB3" w:rsidP="00BC06BC">
            <w:pPr>
              <w:spacing w:before="0"/>
              <w:contextualSpacing/>
              <w:jc w:val="left"/>
            </w:pPr>
            <w:r w:rsidRPr="004E3C56">
              <w:t>Art. 2 (53°)</w:t>
            </w:r>
          </w:p>
          <w:p w14:paraId="7F14FD11" w14:textId="77777777" w:rsidR="00683EB3" w:rsidRPr="00012645" w:rsidRDefault="00683EB3" w:rsidP="00BC06BC">
            <w:pPr>
              <w:spacing w:before="0"/>
              <w:contextualSpacing/>
              <w:jc w:val="left"/>
              <w:rPr>
                <w:b/>
                <w:bCs/>
              </w:rPr>
            </w:pPr>
            <w:r w:rsidRPr="00012645">
              <w:rPr>
                <w:b/>
                <w:bCs/>
              </w:rPr>
              <w:t>Art. 42</w:t>
            </w:r>
          </w:p>
          <w:p w14:paraId="633D686A" w14:textId="77777777" w:rsidR="00683EB3" w:rsidRPr="00012645" w:rsidRDefault="00683EB3" w:rsidP="00BC06BC">
            <w:pPr>
              <w:spacing w:before="0"/>
              <w:contextualSpacing/>
              <w:jc w:val="left"/>
              <w:rPr>
                <w:b/>
                <w:bCs/>
              </w:rPr>
            </w:pPr>
            <w:r w:rsidRPr="00012645">
              <w:rPr>
                <w:b/>
                <w:bCs/>
              </w:rPr>
              <w:t>Art. 56</w:t>
            </w:r>
          </w:p>
          <w:p w14:paraId="45DB926F" w14:textId="77777777" w:rsidR="00683EB3" w:rsidRDefault="00683EB3" w:rsidP="00BC06BC">
            <w:pPr>
              <w:spacing w:before="0"/>
              <w:contextualSpacing/>
              <w:jc w:val="left"/>
            </w:pPr>
            <w:r w:rsidRPr="004E3C56">
              <w:t>Art. 66</w:t>
            </w:r>
          </w:p>
        </w:tc>
        <w:tc>
          <w:tcPr>
            <w:tcW w:w="859" w:type="pct"/>
          </w:tcPr>
          <w:p w14:paraId="138D83B2" w14:textId="77777777" w:rsidR="00683EB3" w:rsidRPr="004E3C56" w:rsidRDefault="00683EB3" w:rsidP="00BC06BC">
            <w:pPr>
              <w:contextualSpacing/>
              <w:jc w:val="left"/>
            </w:pPr>
            <w:r w:rsidRPr="004E3C56">
              <w:t>Art. 54</w:t>
            </w:r>
          </w:p>
          <w:p w14:paraId="3701EF33" w14:textId="77777777" w:rsidR="00683EB3" w:rsidRPr="004E3C56" w:rsidRDefault="00683EB3" w:rsidP="00BC06BC">
            <w:pPr>
              <w:contextualSpacing/>
              <w:jc w:val="left"/>
            </w:pPr>
            <w:r w:rsidRPr="004E3C56">
              <w:t>Art. 87</w:t>
            </w:r>
          </w:p>
          <w:p w14:paraId="60423F75" w14:textId="77777777" w:rsidR="00683EB3" w:rsidRDefault="00683EB3" w:rsidP="00BC06BC">
            <w:pPr>
              <w:contextualSpacing/>
              <w:jc w:val="left"/>
            </w:pPr>
            <w:r w:rsidRPr="004E3C56">
              <w:t>Art. 108</w:t>
            </w:r>
          </w:p>
        </w:tc>
        <w:tc>
          <w:tcPr>
            <w:tcW w:w="859" w:type="pct"/>
          </w:tcPr>
          <w:p w14:paraId="688953BA" w14:textId="77777777" w:rsidR="00683EB3" w:rsidRDefault="00683EB3" w:rsidP="00BC06BC">
            <w:pPr>
              <w:contextualSpacing/>
              <w:jc w:val="left"/>
            </w:pPr>
            <w:r w:rsidRPr="004E3C56">
              <w:t xml:space="preserve">Art. 8 </w:t>
            </w:r>
          </w:p>
        </w:tc>
        <w:tc>
          <w:tcPr>
            <w:tcW w:w="859" w:type="pct"/>
          </w:tcPr>
          <w:p w14:paraId="775DF9CF" w14:textId="77777777" w:rsidR="00683EB3" w:rsidRDefault="00683EB3" w:rsidP="00BC06BC">
            <w:pPr>
              <w:contextualSpacing/>
              <w:jc w:val="left"/>
            </w:pPr>
            <w:r>
              <w:t>/</w:t>
            </w:r>
          </w:p>
        </w:tc>
      </w:tr>
      <w:tr w:rsidR="00683EB3" w14:paraId="0C03AC7C" w14:textId="77777777" w:rsidTr="00BC06BC">
        <w:tc>
          <w:tcPr>
            <w:tcW w:w="1566" w:type="pct"/>
          </w:tcPr>
          <w:p w14:paraId="5FCC7D53" w14:textId="77777777" w:rsidR="00683EB3" w:rsidRPr="00D212D6" w:rsidRDefault="00683EB3" w:rsidP="00BC06BC">
            <w:pPr>
              <w:pStyle w:val="Lijstalinea"/>
              <w:numPr>
                <w:ilvl w:val="0"/>
                <w:numId w:val="49"/>
              </w:numPr>
              <w:ind w:left="306" w:hanging="284"/>
            </w:pPr>
            <w:r w:rsidRPr="00D212D6">
              <w:t>Proportionaliteit bij selectiecriteria, financiële garanties en betalingsmodaliteiten</w:t>
            </w:r>
          </w:p>
        </w:tc>
        <w:tc>
          <w:tcPr>
            <w:tcW w:w="858" w:type="pct"/>
          </w:tcPr>
          <w:p w14:paraId="42F0BA56" w14:textId="77777777" w:rsidR="00683EB3" w:rsidRDefault="00683EB3" w:rsidP="00BC06BC">
            <w:pPr>
              <w:spacing w:before="0"/>
              <w:contextualSpacing/>
              <w:jc w:val="left"/>
              <w:rPr>
                <w:rFonts w:eastAsia="Lato" w:cs="Lato"/>
                <w:color w:val="C00000"/>
                <w:lang w:val="en-US"/>
              </w:rPr>
            </w:pPr>
            <w:r w:rsidRPr="000F12F0">
              <w:rPr>
                <w:rFonts w:eastAsia="Lato" w:cs="Lato"/>
                <w:color w:val="C00000"/>
                <w:lang w:val="en-US"/>
              </w:rPr>
              <w:t>Art. 12-12/9</w:t>
            </w:r>
          </w:p>
          <w:p w14:paraId="28293F46" w14:textId="77777777" w:rsidR="00683EB3" w:rsidRDefault="00683EB3" w:rsidP="00BC06BC">
            <w:pPr>
              <w:spacing w:before="0"/>
              <w:contextualSpacing/>
              <w:jc w:val="left"/>
              <w:rPr>
                <w:rFonts w:eastAsia="Lato" w:cs="Lato"/>
                <w:b/>
                <w:bCs/>
                <w:lang w:val="en-US"/>
              </w:rPr>
            </w:pPr>
            <w:r>
              <w:rPr>
                <w:rFonts w:eastAsia="Lato" w:cs="Lato"/>
                <w:b/>
                <w:bCs/>
                <w:lang w:val="en-US"/>
              </w:rPr>
              <w:t>Art. 39</w:t>
            </w:r>
          </w:p>
          <w:p w14:paraId="516D2596" w14:textId="77777777" w:rsidR="00683EB3" w:rsidRPr="00FB1975" w:rsidRDefault="00683EB3" w:rsidP="00BC06BC">
            <w:pPr>
              <w:spacing w:before="0"/>
              <w:contextualSpacing/>
              <w:jc w:val="left"/>
              <w:rPr>
                <w:rFonts w:eastAsia="Lato" w:cs="Lato"/>
                <w:b/>
                <w:bCs/>
                <w:lang w:val="en-US"/>
              </w:rPr>
            </w:pPr>
            <w:r w:rsidRPr="00FB1975">
              <w:rPr>
                <w:rFonts w:eastAsia="Lato" w:cs="Lato"/>
                <w:b/>
                <w:bCs/>
                <w:lang w:val="en-US"/>
              </w:rPr>
              <w:t>Art. 42</w:t>
            </w:r>
          </w:p>
          <w:p w14:paraId="6347DE6E" w14:textId="77777777" w:rsidR="00683EB3" w:rsidRDefault="00683EB3" w:rsidP="00BC06BC">
            <w:pPr>
              <w:spacing w:before="0"/>
              <w:contextualSpacing/>
              <w:jc w:val="left"/>
              <w:rPr>
                <w:rFonts w:eastAsia="Lato" w:cs="Lato"/>
                <w:b/>
                <w:bCs/>
                <w:lang w:val="en-US"/>
              </w:rPr>
            </w:pPr>
            <w:r w:rsidRPr="005654CF">
              <w:rPr>
                <w:rFonts w:eastAsia="Lato" w:cs="Lato"/>
                <w:b/>
                <w:bCs/>
                <w:lang w:val="en-US"/>
              </w:rPr>
              <w:t>Art. 71</w:t>
            </w:r>
          </w:p>
          <w:p w14:paraId="572D143A" w14:textId="77777777" w:rsidR="00683EB3" w:rsidRDefault="00683EB3" w:rsidP="00BC06BC">
            <w:pPr>
              <w:spacing w:before="0"/>
              <w:contextualSpacing/>
              <w:jc w:val="left"/>
              <w:rPr>
                <w:rFonts w:eastAsia="Lato" w:cs="Lato"/>
                <w:b/>
                <w:bCs/>
                <w:lang w:val="en-US"/>
              </w:rPr>
            </w:pPr>
            <w:r>
              <w:rPr>
                <w:rFonts w:eastAsia="Lato" w:cs="Lato"/>
                <w:b/>
                <w:bCs/>
                <w:lang w:val="en-US"/>
              </w:rPr>
              <w:t>Art. 85</w:t>
            </w:r>
          </w:p>
          <w:p w14:paraId="776DCEFB" w14:textId="77777777" w:rsidR="00683EB3" w:rsidRDefault="00683EB3" w:rsidP="00BC06BC">
            <w:pPr>
              <w:spacing w:before="0"/>
              <w:contextualSpacing/>
              <w:jc w:val="left"/>
            </w:pPr>
            <w:r w:rsidRPr="00DB7D06">
              <w:rPr>
                <w:rFonts w:eastAsia="Lato" w:cs="Lato"/>
                <w:b/>
                <w:bCs/>
                <w:lang w:val="en-US"/>
              </w:rPr>
              <w:t>Art. 163-164</w:t>
            </w:r>
          </w:p>
        </w:tc>
        <w:tc>
          <w:tcPr>
            <w:tcW w:w="859" w:type="pct"/>
          </w:tcPr>
          <w:p w14:paraId="4AAA7230" w14:textId="77777777" w:rsidR="00683EB3" w:rsidRPr="005654CF" w:rsidRDefault="00683EB3" w:rsidP="00BC06BC">
            <w:pPr>
              <w:contextualSpacing/>
              <w:jc w:val="left"/>
              <w:rPr>
                <w:b/>
                <w:bCs/>
              </w:rPr>
            </w:pPr>
            <w:r w:rsidRPr="005654CF">
              <w:rPr>
                <w:b/>
                <w:bCs/>
              </w:rPr>
              <w:t>Art. 65-68</w:t>
            </w:r>
          </w:p>
          <w:p w14:paraId="07EB70C9" w14:textId="77777777" w:rsidR="00683EB3" w:rsidRDefault="00683EB3" w:rsidP="00BC06BC">
            <w:pPr>
              <w:contextualSpacing/>
              <w:jc w:val="left"/>
            </w:pPr>
            <w:r w:rsidRPr="00FC31A2">
              <w:rPr>
                <w:b/>
                <w:bCs/>
              </w:rPr>
              <w:t>Art. 70</w:t>
            </w:r>
            <w:r>
              <w:t>-74</w:t>
            </w:r>
          </w:p>
          <w:p w14:paraId="6E527E39" w14:textId="77777777" w:rsidR="00683EB3" w:rsidRDefault="00683EB3" w:rsidP="00BC06BC">
            <w:pPr>
              <w:contextualSpacing/>
              <w:jc w:val="left"/>
            </w:pPr>
            <w:r w:rsidRPr="00DB7D06">
              <w:rPr>
                <w:b/>
                <w:bCs/>
              </w:rPr>
              <w:t>Art. 119</w:t>
            </w:r>
          </w:p>
        </w:tc>
        <w:tc>
          <w:tcPr>
            <w:tcW w:w="859" w:type="pct"/>
          </w:tcPr>
          <w:p w14:paraId="6DC13B2D" w14:textId="77777777" w:rsidR="00683EB3" w:rsidRPr="00E62154" w:rsidRDefault="00683EB3" w:rsidP="00BC06BC">
            <w:pPr>
              <w:contextualSpacing/>
              <w:jc w:val="left"/>
              <w:rPr>
                <w:b/>
                <w:bCs/>
                <w:lang w:val="en-US"/>
              </w:rPr>
            </w:pPr>
            <w:r w:rsidRPr="00E62154">
              <w:rPr>
                <w:b/>
                <w:bCs/>
                <w:lang w:val="en-US"/>
              </w:rPr>
              <w:t>Art. 9-10</w:t>
            </w:r>
          </w:p>
          <w:p w14:paraId="290831E6" w14:textId="77777777" w:rsidR="00683EB3" w:rsidRPr="005B44A8" w:rsidRDefault="00683EB3" w:rsidP="00BC06BC">
            <w:pPr>
              <w:contextualSpacing/>
              <w:jc w:val="left"/>
              <w:rPr>
                <w:lang w:val="en-US"/>
              </w:rPr>
            </w:pPr>
            <w:r w:rsidRPr="005B44A8">
              <w:rPr>
                <w:lang w:val="en-US"/>
              </w:rPr>
              <w:t>Art</w:t>
            </w:r>
            <w:r>
              <w:rPr>
                <w:lang w:val="en-US"/>
              </w:rPr>
              <w:t>.</w:t>
            </w:r>
            <w:r w:rsidRPr="005B44A8">
              <w:rPr>
                <w:lang w:val="en-US"/>
              </w:rPr>
              <w:t xml:space="preserve"> 24</w:t>
            </w:r>
          </w:p>
          <w:p w14:paraId="3A6F0478" w14:textId="77777777" w:rsidR="00683EB3" w:rsidRDefault="00683EB3" w:rsidP="00BC06BC">
            <w:pPr>
              <w:contextualSpacing/>
              <w:jc w:val="left"/>
              <w:rPr>
                <w:b/>
                <w:bCs/>
                <w:lang w:val="en-US"/>
              </w:rPr>
            </w:pPr>
            <w:r w:rsidRPr="00B21BCD">
              <w:rPr>
                <w:b/>
                <w:bCs/>
                <w:lang w:val="en-US"/>
              </w:rPr>
              <w:t>Art. 25-33</w:t>
            </w:r>
          </w:p>
          <w:p w14:paraId="500B471C" w14:textId="77777777" w:rsidR="00683EB3" w:rsidRPr="00B21BCD" w:rsidRDefault="00683EB3" w:rsidP="00BC06BC">
            <w:pPr>
              <w:contextualSpacing/>
              <w:jc w:val="left"/>
              <w:rPr>
                <w:b/>
                <w:bCs/>
                <w:lang w:val="en-US"/>
              </w:rPr>
            </w:pPr>
            <w:r>
              <w:rPr>
                <w:b/>
                <w:bCs/>
                <w:lang w:val="en-US"/>
              </w:rPr>
              <w:t>Art. 38, 38/7</w:t>
            </w:r>
          </w:p>
          <w:p w14:paraId="5BB3DD01" w14:textId="77777777" w:rsidR="00683EB3" w:rsidRPr="00D212D6" w:rsidRDefault="00683EB3" w:rsidP="00BC06BC">
            <w:pPr>
              <w:contextualSpacing/>
              <w:jc w:val="left"/>
              <w:rPr>
                <w:lang w:val="en-US"/>
              </w:rPr>
            </w:pPr>
            <w:r w:rsidRPr="005B44A8">
              <w:rPr>
                <w:lang w:val="en-US"/>
              </w:rPr>
              <w:t>Art</w:t>
            </w:r>
            <w:r>
              <w:rPr>
                <w:lang w:val="en-US"/>
              </w:rPr>
              <w:t>.</w:t>
            </w:r>
            <w:r w:rsidRPr="005B44A8">
              <w:rPr>
                <w:lang w:val="en-US"/>
              </w:rPr>
              <w:t xml:space="preserve"> 66</w:t>
            </w:r>
            <w:r>
              <w:rPr>
                <w:lang w:val="en-US"/>
              </w:rPr>
              <w:t>-72</w:t>
            </w:r>
          </w:p>
        </w:tc>
        <w:tc>
          <w:tcPr>
            <w:tcW w:w="859" w:type="pct"/>
          </w:tcPr>
          <w:p w14:paraId="1E32556B" w14:textId="77777777" w:rsidR="00683EB3" w:rsidRDefault="00683EB3" w:rsidP="00BC06BC">
            <w:pPr>
              <w:contextualSpacing/>
              <w:jc w:val="left"/>
            </w:pPr>
            <w:r>
              <w:rPr>
                <w:rFonts w:eastAsia="Lato" w:cs="Lato"/>
              </w:rPr>
              <w:t xml:space="preserve">KB </w:t>
            </w:r>
            <w:r>
              <w:t xml:space="preserve">van </w:t>
            </w:r>
            <w:hyperlink r:id="rId121" w:history="1">
              <w:r w:rsidRPr="00F81DDF">
                <w:rPr>
                  <w:rStyle w:val="Hyperlink"/>
                  <w:szCs w:val="22"/>
                </w:rPr>
                <w:t>04/09/2023</w:t>
              </w:r>
            </w:hyperlink>
          </w:p>
        </w:tc>
      </w:tr>
      <w:tr w:rsidR="00683EB3" w14:paraId="466A013C" w14:textId="77777777" w:rsidTr="00BC06BC">
        <w:tc>
          <w:tcPr>
            <w:tcW w:w="1566" w:type="pct"/>
          </w:tcPr>
          <w:p w14:paraId="03FCD6E2" w14:textId="77777777" w:rsidR="00683EB3" w:rsidRPr="00D212D6" w:rsidRDefault="00683EB3" w:rsidP="00BC06BC">
            <w:pPr>
              <w:pStyle w:val="Lijstalinea"/>
              <w:numPr>
                <w:ilvl w:val="0"/>
                <w:numId w:val="49"/>
              </w:numPr>
              <w:ind w:left="306" w:hanging="284"/>
            </w:pPr>
            <w:r w:rsidRPr="00D212D6">
              <w:t>Proportionaliteit bij gunningscriteria en gunnen op basis van de economisch meest voordelige offerte</w:t>
            </w:r>
          </w:p>
        </w:tc>
        <w:tc>
          <w:tcPr>
            <w:tcW w:w="858" w:type="pct"/>
          </w:tcPr>
          <w:p w14:paraId="15CC5AAB" w14:textId="77777777" w:rsidR="00683EB3" w:rsidRPr="00007ABA" w:rsidRDefault="00683EB3" w:rsidP="00BC06BC">
            <w:pPr>
              <w:spacing w:before="0"/>
              <w:contextualSpacing/>
              <w:jc w:val="left"/>
              <w:rPr>
                <w:b/>
                <w:bCs/>
                <w:lang w:val="en-US"/>
              </w:rPr>
            </w:pPr>
            <w:r w:rsidRPr="00007ABA">
              <w:rPr>
                <w:b/>
                <w:bCs/>
                <w:lang w:val="en-US"/>
              </w:rPr>
              <w:t xml:space="preserve">Art. 54-55 </w:t>
            </w:r>
          </w:p>
          <w:p w14:paraId="5BBF1F4C" w14:textId="77777777" w:rsidR="00683EB3" w:rsidRPr="00007ABA" w:rsidRDefault="00683EB3" w:rsidP="00BC06BC">
            <w:pPr>
              <w:spacing w:before="0"/>
              <w:contextualSpacing/>
              <w:jc w:val="left"/>
              <w:rPr>
                <w:b/>
                <w:bCs/>
                <w:lang w:val="en-US"/>
              </w:rPr>
            </w:pPr>
            <w:r w:rsidRPr="00007ABA">
              <w:rPr>
                <w:b/>
                <w:bCs/>
                <w:lang w:val="en-US"/>
              </w:rPr>
              <w:t>Art. 77</w:t>
            </w:r>
          </w:p>
          <w:p w14:paraId="4E2083E5" w14:textId="77777777" w:rsidR="00683EB3" w:rsidRPr="00D54287" w:rsidRDefault="00683EB3" w:rsidP="00BC06BC">
            <w:pPr>
              <w:spacing w:before="0"/>
              <w:contextualSpacing/>
              <w:jc w:val="left"/>
              <w:rPr>
                <w:b/>
                <w:bCs/>
                <w:lang w:val="en-US"/>
              </w:rPr>
            </w:pPr>
            <w:r w:rsidRPr="00D54287">
              <w:rPr>
                <w:b/>
                <w:bCs/>
                <w:lang w:val="en-US"/>
              </w:rPr>
              <w:t>Art. 81-82</w:t>
            </w:r>
          </w:p>
          <w:p w14:paraId="5070C780" w14:textId="77777777" w:rsidR="00683EB3" w:rsidRDefault="00683EB3" w:rsidP="00BC06BC">
            <w:pPr>
              <w:spacing w:before="0"/>
              <w:contextualSpacing/>
              <w:jc w:val="left"/>
            </w:pPr>
            <w:r w:rsidRPr="0045700A">
              <w:t>Art. 89</w:t>
            </w:r>
          </w:p>
        </w:tc>
        <w:tc>
          <w:tcPr>
            <w:tcW w:w="859" w:type="pct"/>
          </w:tcPr>
          <w:p w14:paraId="11A25524" w14:textId="77777777" w:rsidR="00683EB3" w:rsidRPr="00222858" w:rsidRDefault="00683EB3" w:rsidP="00BC06BC">
            <w:pPr>
              <w:contextualSpacing/>
              <w:jc w:val="left"/>
              <w:rPr>
                <w:lang w:val="en-US"/>
              </w:rPr>
            </w:pPr>
            <w:r w:rsidRPr="00E02687">
              <w:rPr>
                <w:b/>
                <w:bCs/>
                <w:lang w:val="en-US"/>
              </w:rPr>
              <w:t>Art. 36</w:t>
            </w:r>
          </w:p>
          <w:p w14:paraId="1BA8FF2D" w14:textId="77777777" w:rsidR="00683EB3" w:rsidRPr="00222858" w:rsidRDefault="00683EB3" w:rsidP="00BC06BC">
            <w:pPr>
              <w:contextualSpacing/>
              <w:jc w:val="left"/>
              <w:rPr>
                <w:lang w:val="en-US"/>
              </w:rPr>
            </w:pPr>
            <w:r w:rsidRPr="00222858">
              <w:rPr>
                <w:lang w:val="en-US"/>
              </w:rPr>
              <w:t>Art. 48</w:t>
            </w:r>
          </w:p>
          <w:p w14:paraId="3D52248F" w14:textId="77777777" w:rsidR="00683EB3" w:rsidRPr="00222858" w:rsidRDefault="00683EB3" w:rsidP="00BC06BC">
            <w:pPr>
              <w:contextualSpacing/>
              <w:jc w:val="left"/>
              <w:rPr>
                <w:lang w:val="en-US"/>
              </w:rPr>
            </w:pPr>
            <w:r w:rsidRPr="00222858">
              <w:rPr>
                <w:lang w:val="en-US"/>
              </w:rPr>
              <w:t>Art. 87</w:t>
            </w:r>
          </w:p>
          <w:p w14:paraId="1351592B" w14:textId="77777777" w:rsidR="00683EB3" w:rsidRPr="00222858" w:rsidRDefault="00683EB3" w:rsidP="00BC06BC">
            <w:pPr>
              <w:contextualSpacing/>
              <w:jc w:val="left"/>
              <w:rPr>
                <w:lang w:val="en-US"/>
              </w:rPr>
            </w:pPr>
            <w:r w:rsidRPr="00222858">
              <w:rPr>
                <w:lang w:val="en-US"/>
              </w:rPr>
              <w:t>Art. 89</w:t>
            </w:r>
          </w:p>
          <w:p w14:paraId="32D68A95" w14:textId="77777777" w:rsidR="00683EB3" w:rsidRPr="00222858" w:rsidRDefault="00683EB3" w:rsidP="00BC06BC">
            <w:pPr>
              <w:contextualSpacing/>
              <w:jc w:val="left"/>
              <w:rPr>
                <w:lang w:val="en-US"/>
              </w:rPr>
            </w:pPr>
            <w:r w:rsidRPr="00222858">
              <w:rPr>
                <w:lang w:val="en-US"/>
              </w:rPr>
              <w:t>Art. 108</w:t>
            </w:r>
          </w:p>
          <w:p w14:paraId="6B8F464D" w14:textId="77777777" w:rsidR="00683EB3" w:rsidRDefault="00683EB3" w:rsidP="00BC06BC">
            <w:pPr>
              <w:contextualSpacing/>
              <w:jc w:val="left"/>
            </w:pPr>
            <w:r>
              <w:t>Art. 111</w:t>
            </w:r>
          </w:p>
        </w:tc>
        <w:tc>
          <w:tcPr>
            <w:tcW w:w="859" w:type="pct"/>
          </w:tcPr>
          <w:p w14:paraId="7288DF72" w14:textId="77777777" w:rsidR="00683EB3" w:rsidRDefault="00683EB3" w:rsidP="00BC06BC">
            <w:pPr>
              <w:contextualSpacing/>
              <w:jc w:val="left"/>
            </w:pPr>
            <w:r>
              <w:t>/</w:t>
            </w:r>
          </w:p>
        </w:tc>
        <w:tc>
          <w:tcPr>
            <w:tcW w:w="859" w:type="pct"/>
          </w:tcPr>
          <w:p w14:paraId="07F112C7" w14:textId="77777777" w:rsidR="00683EB3" w:rsidRDefault="00683EB3" w:rsidP="00BC06BC">
            <w:pPr>
              <w:contextualSpacing/>
              <w:jc w:val="left"/>
            </w:pPr>
            <w:r>
              <w:t>/</w:t>
            </w:r>
          </w:p>
        </w:tc>
      </w:tr>
      <w:tr w:rsidR="00683EB3" w14:paraId="5B763697" w14:textId="77777777" w:rsidTr="00BC06BC">
        <w:tc>
          <w:tcPr>
            <w:tcW w:w="1566" w:type="pct"/>
          </w:tcPr>
          <w:p w14:paraId="6BBE2353" w14:textId="77777777" w:rsidR="00683EB3" w:rsidRPr="00D212D6" w:rsidRDefault="00683EB3" w:rsidP="00BC06BC">
            <w:pPr>
              <w:pStyle w:val="Lijstalinea"/>
              <w:numPr>
                <w:ilvl w:val="0"/>
                <w:numId w:val="49"/>
              </w:numPr>
              <w:ind w:left="306" w:hanging="284"/>
            </w:pPr>
            <w:r w:rsidRPr="00D212D6">
              <w:t>Gepaste en effectieve mededinging verzekeren bij onderhandelingsprocedures die niet onderworpen zijn aan enige bekendmakingsvorm</w:t>
            </w:r>
          </w:p>
        </w:tc>
        <w:tc>
          <w:tcPr>
            <w:tcW w:w="858" w:type="pct"/>
          </w:tcPr>
          <w:p w14:paraId="785E20C2" w14:textId="77777777" w:rsidR="00683EB3" w:rsidRPr="0054300A" w:rsidRDefault="00683EB3" w:rsidP="00BC06BC">
            <w:pPr>
              <w:spacing w:before="0"/>
              <w:contextualSpacing/>
              <w:jc w:val="left"/>
              <w:rPr>
                <w:lang w:val="en-US"/>
              </w:rPr>
            </w:pPr>
            <w:r w:rsidRPr="0054300A">
              <w:rPr>
                <w:lang w:val="en-US"/>
              </w:rPr>
              <w:t>Art. 2 (2</w:t>
            </w:r>
            <w:r>
              <w:rPr>
                <w:lang w:val="en-US"/>
              </w:rPr>
              <w:t>5°-26</w:t>
            </w:r>
            <w:r w:rsidRPr="0054300A">
              <w:rPr>
                <w:lang w:val="en-US"/>
              </w:rPr>
              <w:t>°)</w:t>
            </w:r>
          </w:p>
          <w:p w14:paraId="4E1BAB2F" w14:textId="77777777" w:rsidR="00683EB3" w:rsidRPr="0054300A" w:rsidRDefault="00683EB3" w:rsidP="00BC06BC">
            <w:pPr>
              <w:spacing w:before="0"/>
              <w:contextualSpacing/>
              <w:jc w:val="left"/>
              <w:rPr>
                <w:lang w:val="en-US"/>
              </w:rPr>
            </w:pPr>
            <w:r w:rsidRPr="0054300A">
              <w:rPr>
                <w:lang w:val="en-US"/>
              </w:rPr>
              <w:t>Art. 14</w:t>
            </w:r>
          </w:p>
          <w:p w14:paraId="16831BE5" w14:textId="77777777" w:rsidR="00683EB3" w:rsidRPr="0054300A" w:rsidRDefault="00683EB3" w:rsidP="00BC06BC">
            <w:pPr>
              <w:spacing w:before="0"/>
              <w:contextualSpacing/>
              <w:jc w:val="left"/>
              <w:rPr>
                <w:lang w:val="en-US"/>
              </w:rPr>
            </w:pPr>
            <w:r w:rsidRPr="00DA26AB">
              <w:rPr>
                <w:b/>
                <w:bCs/>
                <w:lang w:val="en-US"/>
              </w:rPr>
              <w:t>Art.</w:t>
            </w:r>
            <w:r w:rsidRPr="0054300A">
              <w:rPr>
                <w:lang w:val="en-US"/>
              </w:rPr>
              <w:t xml:space="preserve"> </w:t>
            </w:r>
            <w:r>
              <w:rPr>
                <w:lang w:val="en-US"/>
              </w:rPr>
              <w:t>41-</w:t>
            </w:r>
            <w:r w:rsidRPr="00DA26AB">
              <w:rPr>
                <w:b/>
                <w:bCs/>
                <w:lang w:val="en-US"/>
              </w:rPr>
              <w:t>42</w:t>
            </w:r>
          </w:p>
          <w:p w14:paraId="3ED1D04C" w14:textId="77777777" w:rsidR="00683EB3" w:rsidRPr="0054300A" w:rsidRDefault="00683EB3" w:rsidP="00BC06BC">
            <w:pPr>
              <w:spacing w:before="0"/>
              <w:contextualSpacing/>
              <w:jc w:val="left"/>
              <w:rPr>
                <w:lang w:val="en-US"/>
              </w:rPr>
            </w:pPr>
            <w:r w:rsidRPr="0054300A">
              <w:rPr>
                <w:lang w:val="en-US"/>
              </w:rPr>
              <w:t>Art. 61</w:t>
            </w:r>
          </w:p>
          <w:p w14:paraId="1230BE9E" w14:textId="77777777" w:rsidR="00683EB3" w:rsidRPr="0054300A" w:rsidRDefault="00683EB3" w:rsidP="00BC06BC">
            <w:pPr>
              <w:spacing w:before="0"/>
              <w:contextualSpacing/>
              <w:jc w:val="left"/>
              <w:rPr>
                <w:lang w:val="en-US"/>
              </w:rPr>
            </w:pPr>
            <w:r w:rsidRPr="0054300A">
              <w:rPr>
                <w:lang w:val="en-US"/>
              </w:rPr>
              <w:t>Art. 89</w:t>
            </w:r>
          </w:p>
          <w:p w14:paraId="730D600E" w14:textId="77777777" w:rsidR="00683EB3" w:rsidRPr="00DA26AB" w:rsidRDefault="00683EB3" w:rsidP="00BC06BC">
            <w:pPr>
              <w:spacing w:before="0"/>
              <w:contextualSpacing/>
              <w:jc w:val="left"/>
              <w:rPr>
                <w:b/>
                <w:bCs/>
              </w:rPr>
            </w:pPr>
            <w:r w:rsidRPr="00DA26AB">
              <w:rPr>
                <w:b/>
                <w:bCs/>
              </w:rPr>
              <w:t>Art. 92</w:t>
            </w:r>
          </w:p>
          <w:p w14:paraId="632ADCD0" w14:textId="77777777" w:rsidR="00683EB3" w:rsidRDefault="00683EB3" w:rsidP="00BC06BC">
            <w:pPr>
              <w:spacing w:before="0"/>
              <w:contextualSpacing/>
              <w:jc w:val="left"/>
            </w:pPr>
            <w:r w:rsidRPr="0054300A">
              <w:t>Art. 164</w:t>
            </w:r>
          </w:p>
        </w:tc>
        <w:tc>
          <w:tcPr>
            <w:tcW w:w="859" w:type="pct"/>
          </w:tcPr>
          <w:p w14:paraId="7E660EC5" w14:textId="77777777" w:rsidR="00683EB3" w:rsidRPr="0054300A" w:rsidRDefault="00683EB3" w:rsidP="00BC06BC">
            <w:pPr>
              <w:contextualSpacing/>
              <w:jc w:val="left"/>
              <w:rPr>
                <w:lang w:val="en-US"/>
              </w:rPr>
            </w:pPr>
            <w:r w:rsidRPr="0054300A">
              <w:rPr>
                <w:lang w:val="en-US"/>
              </w:rPr>
              <w:t>Art. 17</w:t>
            </w:r>
          </w:p>
          <w:p w14:paraId="2C519B65" w14:textId="77777777" w:rsidR="00683EB3" w:rsidRPr="0054300A" w:rsidRDefault="00683EB3" w:rsidP="00BC06BC">
            <w:pPr>
              <w:contextualSpacing/>
              <w:jc w:val="left"/>
              <w:rPr>
                <w:lang w:val="en-US"/>
              </w:rPr>
            </w:pPr>
            <w:r w:rsidRPr="0054300A">
              <w:rPr>
                <w:lang w:val="en-US"/>
              </w:rPr>
              <w:t>Art. 90</w:t>
            </w:r>
          </w:p>
          <w:p w14:paraId="51C34709" w14:textId="77777777" w:rsidR="00683EB3" w:rsidRDefault="00683EB3" w:rsidP="00BC06BC">
            <w:pPr>
              <w:contextualSpacing/>
              <w:jc w:val="left"/>
            </w:pPr>
            <w:r w:rsidRPr="0054300A">
              <w:rPr>
                <w:lang w:val="en-US"/>
              </w:rPr>
              <w:t>Art. 93</w:t>
            </w:r>
            <w:r>
              <w:rPr>
                <w:lang w:val="en-US"/>
              </w:rPr>
              <w:t>-95</w:t>
            </w:r>
          </w:p>
        </w:tc>
        <w:tc>
          <w:tcPr>
            <w:tcW w:w="859" w:type="pct"/>
          </w:tcPr>
          <w:p w14:paraId="4B88F9D6" w14:textId="77777777" w:rsidR="00683EB3" w:rsidRDefault="00683EB3" w:rsidP="00BC06BC">
            <w:pPr>
              <w:contextualSpacing/>
              <w:jc w:val="left"/>
            </w:pPr>
            <w:r>
              <w:t>Art. 35</w:t>
            </w:r>
          </w:p>
          <w:p w14:paraId="60E57137" w14:textId="77777777" w:rsidR="00683EB3" w:rsidRDefault="00683EB3" w:rsidP="00BC06BC">
            <w:pPr>
              <w:contextualSpacing/>
              <w:jc w:val="left"/>
            </w:pPr>
          </w:p>
        </w:tc>
        <w:tc>
          <w:tcPr>
            <w:tcW w:w="859" w:type="pct"/>
          </w:tcPr>
          <w:p w14:paraId="5D352917" w14:textId="77777777" w:rsidR="00683EB3" w:rsidRDefault="00683EB3" w:rsidP="00BC06BC">
            <w:pPr>
              <w:contextualSpacing/>
              <w:jc w:val="left"/>
            </w:pPr>
            <w:r>
              <w:t>/</w:t>
            </w:r>
          </w:p>
        </w:tc>
      </w:tr>
      <w:tr w:rsidR="00683EB3" w14:paraId="27268140" w14:textId="77777777" w:rsidTr="00BC06BC">
        <w:tc>
          <w:tcPr>
            <w:tcW w:w="1566" w:type="pct"/>
          </w:tcPr>
          <w:p w14:paraId="61191386" w14:textId="77777777" w:rsidR="00683EB3" w:rsidRPr="00D212D6" w:rsidRDefault="00683EB3" w:rsidP="00BC06BC">
            <w:pPr>
              <w:pStyle w:val="Lijstalinea"/>
              <w:numPr>
                <w:ilvl w:val="0"/>
                <w:numId w:val="49"/>
              </w:numPr>
              <w:ind w:left="306" w:hanging="284"/>
            </w:pPr>
            <w:r w:rsidRPr="00D212D6">
              <w:t>Terugkoppeling naar inschrijvers die (niet) geselecteerd / (niet) weerhouden zijn</w:t>
            </w:r>
          </w:p>
        </w:tc>
        <w:tc>
          <w:tcPr>
            <w:tcW w:w="858" w:type="pct"/>
          </w:tcPr>
          <w:p w14:paraId="1A0EDF43" w14:textId="77777777" w:rsidR="00683EB3" w:rsidRDefault="00683EB3" w:rsidP="00BC06BC">
            <w:pPr>
              <w:spacing w:before="0"/>
              <w:contextualSpacing/>
              <w:jc w:val="left"/>
            </w:pPr>
            <w:r w:rsidRPr="000F12F0">
              <w:rPr>
                <w:rFonts w:eastAsia="Lato" w:cs="Lato"/>
                <w:color w:val="C00000"/>
              </w:rPr>
              <w:t>Art. 13</w:t>
            </w:r>
          </w:p>
        </w:tc>
        <w:tc>
          <w:tcPr>
            <w:tcW w:w="859" w:type="pct"/>
          </w:tcPr>
          <w:p w14:paraId="4797D02D" w14:textId="77777777" w:rsidR="00683EB3" w:rsidRDefault="00683EB3" w:rsidP="00BC06BC">
            <w:pPr>
              <w:contextualSpacing/>
              <w:jc w:val="left"/>
            </w:pPr>
            <w:r>
              <w:t>Art. 17</w:t>
            </w:r>
          </w:p>
        </w:tc>
        <w:tc>
          <w:tcPr>
            <w:tcW w:w="859" w:type="pct"/>
          </w:tcPr>
          <w:p w14:paraId="261A2916" w14:textId="77777777" w:rsidR="00683EB3" w:rsidRDefault="00683EB3" w:rsidP="00BC06BC">
            <w:pPr>
              <w:contextualSpacing/>
              <w:jc w:val="left"/>
            </w:pPr>
            <w:r>
              <w:t>/</w:t>
            </w:r>
          </w:p>
        </w:tc>
        <w:tc>
          <w:tcPr>
            <w:tcW w:w="859" w:type="pct"/>
          </w:tcPr>
          <w:p w14:paraId="54A7098E" w14:textId="77777777" w:rsidR="00683EB3" w:rsidRDefault="00683EB3" w:rsidP="00BC06BC">
            <w:pPr>
              <w:contextualSpacing/>
              <w:jc w:val="left"/>
            </w:pPr>
            <w:r w:rsidRPr="00410953">
              <w:rPr>
                <w:b/>
                <w:bCs/>
              </w:rPr>
              <w:t xml:space="preserve">Wet van </w:t>
            </w:r>
            <w:hyperlink r:id="rId122">
              <w:r w:rsidRPr="00410953">
                <w:rPr>
                  <w:rStyle w:val="Hyperlink"/>
                  <w:rFonts w:eastAsia="Lato" w:cs="Lato"/>
                  <w:b/>
                  <w:bCs/>
                </w:rPr>
                <w:t>17/06/2013</w:t>
              </w:r>
            </w:hyperlink>
          </w:p>
        </w:tc>
      </w:tr>
      <w:tr w:rsidR="00683EB3" w14:paraId="5085624F" w14:textId="77777777" w:rsidTr="00BC06BC">
        <w:tc>
          <w:tcPr>
            <w:tcW w:w="1566" w:type="pct"/>
          </w:tcPr>
          <w:p w14:paraId="0B3946F9" w14:textId="77777777" w:rsidR="00683EB3" w:rsidRPr="00D212D6" w:rsidRDefault="00683EB3" w:rsidP="00BC06BC">
            <w:pPr>
              <w:pStyle w:val="Lijstalinea"/>
              <w:numPr>
                <w:ilvl w:val="0"/>
                <w:numId w:val="49"/>
              </w:numPr>
              <w:ind w:left="306" w:hanging="284"/>
            </w:pPr>
            <w:r w:rsidRPr="00D212D6">
              <w:t>Kleine repetitieve opdrachten en opdrachten van beperkte waarde</w:t>
            </w:r>
          </w:p>
        </w:tc>
        <w:tc>
          <w:tcPr>
            <w:tcW w:w="858" w:type="pct"/>
          </w:tcPr>
          <w:p w14:paraId="2F648651" w14:textId="77777777" w:rsidR="00683EB3" w:rsidRPr="00A01265" w:rsidRDefault="00683EB3" w:rsidP="00BC06BC">
            <w:pPr>
              <w:spacing w:before="0"/>
              <w:contextualSpacing/>
              <w:jc w:val="left"/>
              <w:rPr>
                <w:rFonts w:eastAsia="Lato" w:cs="Lato"/>
                <w:lang w:val="en-US"/>
              </w:rPr>
            </w:pPr>
            <w:r w:rsidRPr="00A01265">
              <w:rPr>
                <w:rFonts w:eastAsia="Lato" w:cs="Lato"/>
                <w:lang w:val="en-US"/>
              </w:rPr>
              <w:t>Art. 2 (6°, 35°)</w:t>
            </w:r>
          </w:p>
          <w:p w14:paraId="3E818C52" w14:textId="77777777" w:rsidR="00683EB3" w:rsidRDefault="00683EB3" w:rsidP="00BC06BC">
            <w:pPr>
              <w:spacing w:before="0"/>
              <w:contextualSpacing/>
              <w:jc w:val="left"/>
              <w:rPr>
                <w:b/>
                <w:bCs/>
                <w:lang w:val="en-US"/>
              </w:rPr>
            </w:pPr>
            <w:r>
              <w:rPr>
                <w:rFonts w:eastAsia="Lato" w:cs="Lato"/>
                <w:b/>
                <w:bCs/>
                <w:lang w:val="en-US"/>
              </w:rPr>
              <w:t>A</w:t>
            </w:r>
            <w:r>
              <w:rPr>
                <w:b/>
                <w:bCs/>
                <w:lang w:val="en-US"/>
              </w:rPr>
              <w:t>rt. 43</w:t>
            </w:r>
          </w:p>
          <w:p w14:paraId="0AF0F6CA" w14:textId="77777777" w:rsidR="00683EB3" w:rsidRPr="00540130" w:rsidRDefault="00683EB3" w:rsidP="00BC06BC">
            <w:pPr>
              <w:spacing w:before="0"/>
              <w:contextualSpacing/>
              <w:jc w:val="left"/>
              <w:rPr>
                <w:rFonts w:eastAsia="Lato" w:cs="Lato"/>
                <w:lang w:val="en-US"/>
              </w:rPr>
            </w:pPr>
            <w:r w:rsidRPr="00540130">
              <w:rPr>
                <w:lang w:val="en-US"/>
              </w:rPr>
              <w:t>Art. 66</w:t>
            </w:r>
          </w:p>
          <w:p w14:paraId="5938646B" w14:textId="77777777" w:rsidR="00683EB3" w:rsidRDefault="00683EB3" w:rsidP="00BC06BC">
            <w:pPr>
              <w:spacing w:before="0"/>
              <w:contextualSpacing/>
              <w:jc w:val="left"/>
              <w:rPr>
                <w:rFonts w:eastAsia="Lato" w:cs="Lato"/>
                <w:b/>
                <w:bCs/>
                <w:lang w:val="en-US"/>
              </w:rPr>
            </w:pPr>
            <w:r w:rsidRPr="00CE7923">
              <w:rPr>
                <w:rFonts w:eastAsia="Lato" w:cs="Lato"/>
                <w:b/>
                <w:bCs/>
                <w:lang w:val="en-US"/>
              </w:rPr>
              <w:t>Art. 92</w:t>
            </w:r>
          </w:p>
          <w:p w14:paraId="6371502F" w14:textId="77777777" w:rsidR="00683EB3" w:rsidRPr="00151605" w:rsidRDefault="00683EB3" w:rsidP="00BC06BC">
            <w:pPr>
              <w:spacing w:before="0"/>
              <w:contextualSpacing/>
              <w:jc w:val="left"/>
              <w:rPr>
                <w:rFonts w:eastAsia="Lato" w:cs="Lato"/>
                <w:lang w:val="en-US"/>
              </w:rPr>
            </w:pPr>
            <w:r w:rsidRPr="00151605">
              <w:rPr>
                <w:rFonts w:eastAsia="Lato" w:cs="Lato"/>
                <w:lang w:val="en-US"/>
              </w:rPr>
              <w:t>Art. 140</w:t>
            </w:r>
          </w:p>
          <w:p w14:paraId="0D1E09D2" w14:textId="77777777" w:rsidR="00683EB3" w:rsidRPr="00151605" w:rsidRDefault="00683EB3" w:rsidP="00BC06BC">
            <w:pPr>
              <w:spacing w:before="0"/>
              <w:contextualSpacing/>
              <w:jc w:val="left"/>
              <w:rPr>
                <w:rFonts w:eastAsia="Lato" w:cs="Lato"/>
                <w:lang w:val="en-US"/>
              </w:rPr>
            </w:pPr>
            <w:r w:rsidRPr="00151605">
              <w:rPr>
                <w:rFonts w:eastAsia="Lato" w:cs="Lato"/>
                <w:lang w:val="en-US"/>
              </w:rPr>
              <w:t>Art. 148</w:t>
            </w:r>
          </w:p>
          <w:p w14:paraId="546B8299" w14:textId="77777777" w:rsidR="00683EB3" w:rsidRDefault="00683EB3" w:rsidP="00BC06BC">
            <w:pPr>
              <w:spacing w:before="0"/>
              <w:contextualSpacing/>
              <w:jc w:val="left"/>
            </w:pPr>
            <w:r w:rsidRPr="00CE7923">
              <w:rPr>
                <w:b/>
                <w:bCs/>
                <w:lang w:val="en-US"/>
              </w:rPr>
              <w:t>Art. 165</w:t>
            </w:r>
          </w:p>
        </w:tc>
        <w:tc>
          <w:tcPr>
            <w:tcW w:w="859" w:type="pct"/>
          </w:tcPr>
          <w:p w14:paraId="3B7E0219" w14:textId="77777777" w:rsidR="00683EB3" w:rsidRDefault="00683EB3" w:rsidP="00BC06BC">
            <w:pPr>
              <w:contextualSpacing/>
              <w:jc w:val="left"/>
            </w:pPr>
            <w:r w:rsidRPr="00BE2147">
              <w:rPr>
                <w:b/>
                <w:bCs/>
              </w:rPr>
              <w:t>Art.</w:t>
            </w:r>
            <w:r>
              <w:t xml:space="preserve"> 6-</w:t>
            </w:r>
            <w:r w:rsidRPr="00BE2147">
              <w:rPr>
                <w:b/>
                <w:bCs/>
              </w:rPr>
              <w:t>7</w:t>
            </w:r>
          </w:p>
          <w:p w14:paraId="6C233CBD" w14:textId="77777777" w:rsidR="00683EB3" w:rsidRDefault="00683EB3" w:rsidP="00BC06BC">
            <w:pPr>
              <w:contextualSpacing/>
              <w:jc w:val="left"/>
            </w:pPr>
            <w:r>
              <w:t>Art. 23</w:t>
            </w:r>
          </w:p>
          <w:p w14:paraId="1EDE1FB0" w14:textId="77777777" w:rsidR="00683EB3" w:rsidRDefault="00683EB3" w:rsidP="00BC06BC">
            <w:pPr>
              <w:contextualSpacing/>
              <w:jc w:val="left"/>
            </w:pPr>
            <w:r>
              <w:t>Art. 124-125</w:t>
            </w:r>
          </w:p>
        </w:tc>
        <w:tc>
          <w:tcPr>
            <w:tcW w:w="859" w:type="pct"/>
          </w:tcPr>
          <w:p w14:paraId="4A7274AF" w14:textId="77777777" w:rsidR="00683EB3" w:rsidRDefault="00683EB3" w:rsidP="00BC06BC">
            <w:pPr>
              <w:contextualSpacing/>
              <w:jc w:val="left"/>
            </w:pPr>
            <w:r>
              <w:t>/</w:t>
            </w:r>
          </w:p>
        </w:tc>
        <w:tc>
          <w:tcPr>
            <w:tcW w:w="859" w:type="pct"/>
          </w:tcPr>
          <w:p w14:paraId="23F33DEF" w14:textId="77777777" w:rsidR="00683EB3" w:rsidRPr="00A17873" w:rsidRDefault="00683EB3" w:rsidP="00BC06BC">
            <w:pPr>
              <w:contextualSpacing/>
              <w:jc w:val="left"/>
              <w:rPr>
                <w:rFonts w:eastAsia="Lato" w:cs="Lato"/>
                <w:b/>
                <w:bCs/>
              </w:rPr>
            </w:pPr>
            <w:r w:rsidRPr="00A17873">
              <w:rPr>
                <w:rFonts w:eastAsia="Lato" w:cs="Lato"/>
                <w:b/>
                <w:bCs/>
              </w:rPr>
              <w:t xml:space="preserve">Omzendbrief van </w:t>
            </w:r>
            <w:hyperlink r:id="rId123" w:anchor="Page144" w:history="1">
              <w:r w:rsidRPr="00A17873">
                <w:rPr>
                  <w:rStyle w:val="Hyperlink"/>
                  <w:rFonts w:eastAsia="Lato" w:cs="Lato"/>
                  <w:b/>
                  <w:bCs/>
                  <w:szCs w:val="22"/>
                </w:rPr>
                <w:t>28/0</w:t>
              </w:r>
              <w:r w:rsidRPr="00A17873">
                <w:rPr>
                  <w:rStyle w:val="Hyperlink"/>
                  <w:rFonts w:eastAsia="Lato" w:cs="Lato"/>
                  <w:b/>
                  <w:bCs/>
                </w:rPr>
                <w:t>6/2022</w:t>
              </w:r>
            </w:hyperlink>
          </w:p>
          <w:p w14:paraId="459BC3EE" w14:textId="77777777" w:rsidR="00683EB3" w:rsidRPr="00A17873" w:rsidRDefault="00683EB3" w:rsidP="00BC06BC">
            <w:pPr>
              <w:contextualSpacing/>
              <w:jc w:val="left"/>
              <w:rPr>
                <w:b/>
                <w:bCs/>
              </w:rPr>
            </w:pPr>
            <w:r w:rsidRPr="00A17873">
              <w:rPr>
                <w:b/>
                <w:bCs/>
              </w:rPr>
              <w:t xml:space="preserve">KB van </w:t>
            </w:r>
            <w:hyperlink r:id="rId124" w:history="1">
              <w:r w:rsidRPr="00A17873">
                <w:rPr>
                  <w:rStyle w:val="Hyperlink"/>
                  <w:b/>
                  <w:bCs/>
                  <w:szCs w:val="22"/>
                </w:rPr>
                <w:t>21/07/2023</w:t>
              </w:r>
            </w:hyperlink>
          </w:p>
          <w:p w14:paraId="03B84D98" w14:textId="77777777" w:rsidR="00683EB3" w:rsidRDefault="00683EB3" w:rsidP="00BC06BC">
            <w:pPr>
              <w:contextualSpacing/>
              <w:jc w:val="left"/>
            </w:pPr>
          </w:p>
        </w:tc>
      </w:tr>
      <w:tr w:rsidR="00683EB3" w14:paraId="5F87D0CB" w14:textId="77777777" w:rsidTr="00BC06BC">
        <w:tc>
          <w:tcPr>
            <w:tcW w:w="1566" w:type="pct"/>
          </w:tcPr>
          <w:p w14:paraId="28196357" w14:textId="77777777" w:rsidR="00683EB3" w:rsidRPr="00D212D6" w:rsidRDefault="00683EB3" w:rsidP="00BC06BC">
            <w:pPr>
              <w:pStyle w:val="Lijstalinea"/>
              <w:numPr>
                <w:ilvl w:val="0"/>
                <w:numId w:val="49"/>
              </w:numPr>
              <w:ind w:left="306" w:hanging="284"/>
            </w:pPr>
            <w:r w:rsidRPr="00D212D6">
              <w:t>Permanent opleiden van aanbesteders en continu informeren van de ondernemingswereld</w:t>
            </w:r>
          </w:p>
        </w:tc>
        <w:tc>
          <w:tcPr>
            <w:tcW w:w="858" w:type="pct"/>
          </w:tcPr>
          <w:p w14:paraId="7104D6FF" w14:textId="77777777" w:rsidR="00683EB3" w:rsidRPr="00D212D6" w:rsidRDefault="00683EB3" w:rsidP="00BC06BC">
            <w:pPr>
              <w:spacing w:before="0"/>
              <w:contextualSpacing/>
              <w:jc w:val="left"/>
              <w:rPr>
                <w:rFonts w:eastAsia="Lato" w:cs="Lato"/>
              </w:rPr>
            </w:pPr>
            <w:r>
              <w:rPr>
                <w:rFonts w:eastAsia="Lato" w:cs="Lato"/>
              </w:rPr>
              <w:t>/</w:t>
            </w:r>
          </w:p>
        </w:tc>
        <w:tc>
          <w:tcPr>
            <w:tcW w:w="859" w:type="pct"/>
          </w:tcPr>
          <w:p w14:paraId="61B8DF08" w14:textId="77777777" w:rsidR="00683EB3" w:rsidRPr="00BE2147" w:rsidRDefault="00683EB3" w:rsidP="00BC06BC">
            <w:pPr>
              <w:contextualSpacing/>
              <w:jc w:val="left"/>
              <w:rPr>
                <w:b/>
                <w:bCs/>
              </w:rPr>
            </w:pPr>
            <w:r>
              <w:rPr>
                <w:b/>
                <w:bCs/>
              </w:rPr>
              <w:t>/</w:t>
            </w:r>
          </w:p>
        </w:tc>
        <w:tc>
          <w:tcPr>
            <w:tcW w:w="859" w:type="pct"/>
          </w:tcPr>
          <w:p w14:paraId="0C51336A" w14:textId="77777777" w:rsidR="00683EB3" w:rsidRDefault="00683EB3" w:rsidP="00BC06BC">
            <w:pPr>
              <w:contextualSpacing/>
              <w:jc w:val="left"/>
            </w:pPr>
            <w:r>
              <w:t>/</w:t>
            </w:r>
          </w:p>
        </w:tc>
        <w:tc>
          <w:tcPr>
            <w:tcW w:w="859" w:type="pct"/>
          </w:tcPr>
          <w:p w14:paraId="222E2680" w14:textId="77777777" w:rsidR="00683EB3" w:rsidRPr="00A17873" w:rsidRDefault="00683EB3" w:rsidP="00BC06BC">
            <w:pPr>
              <w:contextualSpacing/>
              <w:jc w:val="left"/>
              <w:rPr>
                <w:rFonts w:eastAsia="Lato" w:cs="Lato"/>
                <w:b/>
                <w:bCs/>
              </w:rPr>
            </w:pPr>
            <w:r>
              <w:rPr>
                <w:rFonts w:eastAsia="Lato" w:cs="Lato"/>
                <w:b/>
                <w:bCs/>
              </w:rPr>
              <w:t>/</w:t>
            </w:r>
          </w:p>
        </w:tc>
      </w:tr>
      <w:tr w:rsidR="00683EB3" w14:paraId="2DD06DC0" w14:textId="77777777" w:rsidTr="00BC06BC">
        <w:tc>
          <w:tcPr>
            <w:tcW w:w="1566" w:type="pct"/>
          </w:tcPr>
          <w:p w14:paraId="7861E2D8" w14:textId="77777777" w:rsidR="00683EB3" w:rsidRPr="00D212D6" w:rsidRDefault="00683EB3" w:rsidP="00BC06BC">
            <w:pPr>
              <w:pStyle w:val="Lijstalinea"/>
              <w:numPr>
                <w:ilvl w:val="0"/>
                <w:numId w:val="49"/>
              </w:numPr>
              <w:ind w:left="306" w:hanging="284"/>
            </w:pPr>
            <w:r w:rsidRPr="00D212D6">
              <w:t>Structurele en kwaliteitsvolle monitoring van de kmo-participatie bij overheidsopdrachten</w:t>
            </w:r>
          </w:p>
        </w:tc>
        <w:tc>
          <w:tcPr>
            <w:tcW w:w="858" w:type="pct"/>
          </w:tcPr>
          <w:p w14:paraId="5E487646" w14:textId="77777777" w:rsidR="00683EB3" w:rsidRPr="00D212D6" w:rsidRDefault="00683EB3" w:rsidP="00BC06BC">
            <w:pPr>
              <w:spacing w:before="0"/>
              <w:contextualSpacing/>
              <w:jc w:val="left"/>
              <w:rPr>
                <w:rFonts w:eastAsia="Lato" w:cs="Lato"/>
                <w:lang w:val="en-US"/>
              </w:rPr>
            </w:pPr>
            <w:r w:rsidRPr="00D212D6">
              <w:rPr>
                <w:rFonts w:eastAsia="Lato" w:cs="Lato"/>
                <w:lang w:val="en-US"/>
              </w:rPr>
              <w:t>Art. 14</w:t>
            </w:r>
          </w:p>
          <w:p w14:paraId="1CEE345F" w14:textId="77777777" w:rsidR="00683EB3" w:rsidRPr="00D212D6" w:rsidRDefault="00683EB3" w:rsidP="00BC06BC">
            <w:pPr>
              <w:spacing w:before="0"/>
              <w:contextualSpacing/>
              <w:jc w:val="left"/>
              <w:rPr>
                <w:rFonts w:eastAsia="Lato" w:cs="Lato"/>
                <w:lang w:val="en-US"/>
              </w:rPr>
            </w:pPr>
            <w:r w:rsidRPr="00D212D6">
              <w:rPr>
                <w:rFonts w:eastAsia="Lato" w:cs="Lato"/>
                <w:lang w:val="en-US"/>
              </w:rPr>
              <w:t>Art. 62</w:t>
            </w:r>
          </w:p>
          <w:p w14:paraId="795BEB49" w14:textId="77777777" w:rsidR="00683EB3" w:rsidRPr="00D212D6" w:rsidRDefault="00683EB3" w:rsidP="00BC06BC">
            <w:pPr>
              <w:spacing w:before="0"/>
              <w:contextualSpacing/>
              <w:jc w:val="left"/>
              <w:rPr>
                <w:rFonts w:eastAsia="Lato" w:cs="Lato"/>
                <w:lang w:val="en-US"/>
              </w:rPr>
            </w:pPr>
            <w:r w:rsidRPr="00D212D6">
              <w:rPr>
                <w:rFonts w:eastAsia="Lato" w:cs="Lato"/>
                <w:lang w:val="en-US"/>
              </w:rPr>
              <w:t>Art. 85</w:t>
            </w:r>
          </w:p>
          <w:p w14:paraId="565E5A5C" w14:textId="77777777" w:rsidR="00683EB3" w:rsidRPr="00D212D6" w:rsidRDefault="00683EB3" w:rsidP="00BC06BC">
            <w:pPr>
              <w:spacing w:before="0"/>
              <w:contextualSpacing/>
              <w:jc w:val="left"/>
              <w:rPr>
                <w:rFonts w:eastAsia="Lato" w:cs="Lato"/>
                <w:lang w:val="en-US"/>
              </w:rPr>
            </w:pPr>
            <w:r w:rsidRPr="00D212D6">
              <w:rPr>
                <w:rFonts w:eastAsia="Lato" w:cs="Lato"/>
                <w:lang w:val="en-US"/>
              </w:rPr>
              <w:t>Art. 92</w:t>
            </w:r>
          </w:p>
          <w:p w14:paraId="7CBD6B96" w14:textId="77777777" w:rsidR="00683EB3" w:rsidRPr="00A01265" w:rsidRDefault="00683EB3" w:rsidP="00BC06BC">
            <w:pPr>
              <w:spacing w:before="0"/>
              <w:contextualSpacing/>
              <w:jc w:val="left"/>
              <w:rPr>
                <w:rFonts w:eastAsia="Lato" w:cs="Lato"/>
                <w:lang w:val="en-US"/>
              </w:rPr>
            </w:pPr>
            <w:r w:rsidRPr="00D212D6">
              <w:rPr>
                <w:rFonts w:eastAsia="Lato" w:cs="Lato"/>
                <w:lang w:val="en-US"/>
              </w:rPr>
              <w:t>Art. 163-165</w:t>
            </w:r>
          </w:p>
        </w:tc>
        <w:tc>
          <w:tcPr>
            <w:tcW w:w="859" w:type="pct"/>
          </w:tcPr>
          <w:p w14:paraId="09D5567A" w14:textId="77777777" w:rsidR="00683EB3" w:rsidRDefault="00683EB3" w:rsidP="00BC06BC">
            <w:pPr>
              <w:contextualSpacing/>
              <w:jc w:val="left"/>
            </w:pPr>
            <w:r>
              <w:t>Art. 23-23/1</w:t>
            </w:r>
          </w:p>
          <w:p w14:paraId="586338E5" w14:textId="77777777" w:rsidR="00683EB3" w:rsidRPr="00BE2147" w:rsidRDefault="00683EB3" w:rsidP="00BC06BC">
            <w:pPr>
              <w:contextualSpacing/>
              <w:jc w:val="left"/>
              <w:rPr>
                <w:b/>
                <w:bCs/>
              </w:rPr>
            </w:pPr>
            <w:r>
              <w:t>Art. 84</w:t>
            </w:r>
          </w:p>
        </w:tc>
        <w:tc>
          <w:tcPr>
            <w:tcW w:w="859" w:type="pct"/>
          </w:tcPr>
          <w:p w14:paraId="718A9A55" w14:textId="77777777" w:rsidR="00683EB3" w:rsidRDefault="00683EB3" w:rsidP="00BC06BC">
            <w:pPr>
              <w:contextualSpacing/>
              <w:jc w:val="left"/>
            </w:pPr>
          </w:p>
        </w:tc>
        <w:tc>
          <w:tcPr>
            <w:tcW w:w="859" w:type="pct"/>
          </w:tcPr>
          <w:p w14:paraId="6D4F935B" w14:textId="77777777" w:rsidR="00683EB3" w:rsidRDefault="00683EB3" w:rsidP="00BC06BC">
            <w:pPr>
              <w:contextualSpacing/>
              <w:jc w:val="left"/>
              <w:rPr>
                <w:rFonts w:eastAsia="Lato" w:cs="Lato"/>
              </w:rPr>
            </w:pPr>
            <w:r>
              <w:rPr>
                <w:rFonts w:eastAsia="Lato" w:cs="Lato"/>
              </w:rPr>
              <w:t xml:space="preserve">Wet van </w:t>
            </w:r>
            <w:hyperlink r:id="rId125" w:history="1">
              <w:r w:rsidRPr="00F97F71">
                <w:rPr>
                  <w:rStyle w:val="Hyperlink"/>
                  <w:rFonts w:eastAsia="Lato" w:cs="Lato"/>
                  <w:szCs w:val="22"/>
                </w:rPr>
                <w:t>08/02/2023</w:t>
              </w:r>
            </w:hyperlink>
            <w:r>
              <w:rPr>
                <w:rFonts w:eastAsia="Lato" w:cs="Lato"/>
              </w:rPr>
              <w:t xml:space="preserve"> (Wet “bestuur”)</w:t>
            </w:r>
          </w:p>
          <w:p w14:paraId="20D4FA3A" w14:textId="77777777" w:rsidR="00683EB3" w:rsidRDefault="00683EB3" w:rsidP="00BC06BC">
            <w:pPr>
              <w:contextualSpacing/>
              <w:jc w:val="left"/>
              <w:rPr>
                <w:rFonts w:eastAsia="Lato" w:cs="Lato"/>
              </w:rPr>
            </w:pPr>
            <w:r>
              <w:rPr>
                <w:rFonts w:eastAsia="Lato" w:cs="Lato"/>
              </w:rPr>
              <w:t xml:space="preserve">KB van </w:t>
            </w:r>
            <w:hyperlink r:id="rId126" w:history="1">
              <w:r w:rsidRPr="007E2537">
                <w:rPr>
                  <w:rStyle w:val="Hyperlink"/>
                  <w:rFonts w:eastAsia="Lato" w:cs="Lato"/>
                  <w:szCs w:val="22"/>
                </w:rPr>
                <w:t>13/08/2023</w:t>
              </w:r>
            </w:hyperlink>
            <w:r>
              <w:rPr>
                <w:rFonts w:eastAsia="Lato" w:cs="Lato"/>
              </w:rPr>
              <w:t xml:space="preserve"> (KB Bestuur)</w:t>
            </w:r>
          </w:p>
          <w:p w14:paraId="259059C4" w14:textId="77777777" w:rsidR="00683EB3" w:rsidRPr="00A17873" w:rsidRDefault="00683EB3" w:rsidP="00BC06BC">
            <w:pPr>
              <w:contextualSpacing/>
              <w:jc w:val="left"/>
              <w:rPr>
                <w:rFonts w:eastAsia="Lato" w:cs="Lato"/>
                <w:b/>
                <w:bCs/>
              </w:rPr>
            </w:pPr>
            <w:r w:rsidRPr="00A17873">
              <w:rPr>
                <w:b/>
                <w:bCs/>
              </w:rPr>
              <w:t xml:space="preserve">KB van </w:t>
            </w:r>
            <w:hyperlink r:id="rId127" w:history="1">
              <w:r w:rsidRPr="00A17873">
                <w:rPr>
                  <w:rStyle w:val="Hyperlink"/>
                  <w:b/>
                  <w:bCs/>
                  <w:szCs w:val="22"/>
                </w:rPr>
                <w:t>21/07/2023</w:t>
              </w:r>
            </w:hyperlink>
          </w:p>
        </w:tc>
      </w:tr>
    </w:tbl>
    <w:p w14:paraId="6915D645" w14:textId="77777777" w:rsidR="005D4EB7" w:rsidRPr="00D03C93" w:rsidRDefault="005D4EB7" w:rsidP="00D03C93"/>
    <w:sectPr w:rsidR="005D4EB7" w:rsidRPr="00D03C93" w:rsidSect="00DB0FA2">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0012" w14:textId="77777777" w:rsidR="004A1414" w:rsidRDefault="004A1414" w:rsidP="00DB0FA2">
      <w:r>
        <w:separator/>
      </w:r>
    </w:p>
    <w:p w14:paraId="62BF7B38" w14:textId="77777777" w:rsidR="004A1414" w:rsidRDefault="004A1414" w:rsidP="00DB0FA2"/>
    <w:p w14:paraId="66E6F486" w14:textId="77777777" w:rsidR="004A1414" w:rsidRDefault="004A1414" w:rsidP="00DB0FA2"/>
    <w:p w14:paraId="453FA912" w14:textId="77777777" w:rsidR="004A1414" w:rsidRDefault="004A1414" w:rsidP="00DB0FA2"/>
  </w:endnote>
  <w:endnote w:type="continuationSeparator" w:id="0">
    <w:p w14:paraId="36F04964" w14:textId="77777777" w:rsidR="004A1414" w:rsidRDefault="004A1414" w:rsidP="00DB0FA2">
      <w:r>
        <w:continuationSeparator/>
      </w:r>
    </w:p>
    <w:p w14:paraId="3B3C4D3B" w14:textId="77777777" w:rsidR="004A1414" w:rsidRDefault="004A1414" w:rsidP="00DB0FA2"/>
    <w:p w14:paraId="136BAA5A" w14:textId="77777777" w:rsidR="004A1414" w:rsidRDefault="004A1414" w:rsidP="00DB0FA2"/>
    <w:p w14:paraId="2472F0F9" w14:textId="77777777" w:rsidR="004A1414" w:rsidRDefault="004A1414" w:rsidP="00DB0FA2"/>
  </w:endnote>
  <w:endnote w:type="continuationNotice" w:id="1">
    <w:p w14:paraId="774C8F2B" w14:textId="77777777" w:rsidR="004A1414" w:rsidRDefault="004A141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Light">
    <w:panose1 w:val="020F0502020204030203"/>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B" w14:textId="77777777" w:rsidR="00763E4C" w:rsidRPr="00E179CC" w:rsidRDefault="00D827A0" w:rsidP="00DB0FA2">
    <w:pPr>
      <w:pStyle w:val="Voettekst"/>
    </w:pPr>
    <w:r>
      <w:rPr>
        <w:noProof/>
        <w:lang w:val="fr-BE" w:eastAsia="fr-BE"/>
      </w:rPr>
      <w:drawing>
        <wp:anchor distT="0" distB="0" distL="114300" distR="114300" simplePos="0" relativeHeight="251658243" behindDoc="0" locked="0" layoutInCell="1" allowOverlap="1" wp14:anchorId="251C3587" wp14:editId="251C3588">
          <wp:simplePos x="0" y="0"/>
          <wp:positionH relativeFrom="page">
            <wp:posOffset>720090</wp:posOffset>
          </wp:positionH>
          <wp:positionV relativeFrom="page">
            <wp:posOffset>9361170</wp:posOffset>
          </wp:positionV>
          <wp:extent cx="2430000" cy="97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nomie_cmyk_N-new.emf"/>
                  <pic:cNvPicPr/>
                </pic:nvPicPr>
                <pic:blipFill>
                  <a:blip r:embed="rId1">
                    <a:extLst>
                      <a:ext uri="{28A0092B-C50C-407E-A947-70E740481C1C}">
                        <a14:useLocalDpi xmlns:a14="http://schemas.microsoft.com/office/drawing/2010/main" val="0"/>
                      </a:ext>
                    </a:extLst>
                  </a:blip>
                  <a:stretch>
                    <a:fillRect/>
                  </a:stretch>
                </pic:blipFill>
                <pic:spPr>
                  <a:xfrm>
                    <a:off x="0" y="0"/>
                    <a:ext cx="2430000" cy="972000"/>
                  </a:xfrm>
                  <a:prstGeom prst="rect">
                    <a:avLst/>
                  </a:prstGeom>
                </pic:spPr>
              </pic:pic>
            </a:graphicData>
          </a:graphic>
          <wp14:sizeRelH relativeFrom="margin">
            <wp14:pctWidth>0</wp14:pctWidth>
          </wp14:sizeRelH>
          <wp14:sizeRelV relativeFrom="margin">
            <wp14:pctHeight>0</wp14:pctHeight>
          </wp14:sizeRelV>
        </wp:anchor>
      </w:drawing>
    </w:r>
    <w:r w:rsidR="00FD65F4">
      <w:rPr>
        <w:noProof/>
        <w:lang w:val="fr-BE" w:eastAsia="fr-BE"/>
      </w:rPr>
      <w:drawing>
        <wp:anchor distT="0" distB="0" distL="114300" distR="114300" simplePos="0" relativeHeight="251658242" behindDoc="1" locked="0" layoutInCell="1" allowOverlap="1" wp14:anchorId="251C3589" wp14:editId="251C358A">
          <wp:simplePos x="0" y="0"/>
          <wp:positionH relativeFrom="page">
            <wp:posOffset>6552565</wp:posOffset>
          </wp:positionH>
          <wp:positionV relativeFrom="page">
            <wp:posOffset>9901555</wp:posOffset>
          </wp:positionV>
          <wp:extent cx="334800" cy="24840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C" w14:textId="77777777" w:rsidR="007C7790" w:rsidRPr="007C7790" w:rsidRDefault="00702E56" w:rsidP="00DB0FA2">
    <w:pPr>
      <w:pStyle w:val="Voettekst"/>
    </w:pPr>
    <w:r>
      <w:rPr>
        <w:noProof/>
        <w:lang w:val="fr-BE" w:eastAsia="fr-BE"/>
      </w:rPr>
      <w:drawing>
        <wp:anchor distT="0" distB="0" distL="114300" distR="114300" simplePos="0" relativeHeight="251658241" behindDoc="1" locked="1" layoutInCell="1" allowOverlap="1" wp14:anchorId="251C358B" wp14:editId="251C358C">
          <wp:simplePos x="0" y="0"/>
          <wp:positionH relativeFrom="page">
            <wp:posOffset>900430</wp:posOffset>
          </wp:positionH>
          <wp:positionV relativeFrom="page">
            <wp:posOffset>9361170</wp:posOffset>
          </wp:positionV>
          <wp:extent cx="2509200" cy="10008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2509200" cy="1000800"/>
                  </a:xfrm>
                  <a:prstGeom prst="rect">
                    <a:avLst/>
                  </a:prstGeom>
                </pic:spPr>
              </pic:pic>
            </a:graphicData>
          </a:graphic>
          <wp14:sizeRelH relativeFrom="margin">
            <wp14:pctWidth>0</wp14:pctWidth>
          </wp14:sizeRelH>
          <wp14:sizeRelV relativeFrom="margin">
            <wp14:pctHeight>0</wp14:pctHeight>
          </wp14:sizeRelV>
        </wp:anchor>
      </w:drawing>
    </w:r>
    <w:r w:rsidR="007C7790">
      <w:rPr>
        <w:noProof/>
        <w:lang w:val="fr-BE" w:eastAsia="fr-BE"/>
      </w:rPr>
      <w:drawing>
        <wp:anchor distT="0" distB="0" distL="114300" distR="114300" simplePos="0" relativeHeight="251658240" behindDoc="1" locked="0" layoutInCell="1" allowOverlap="1" wp14:anchorId="251C358D" wp14:editId="251C358E">
          <wp:simplePos x="0" y="0"/>
          <wp:positionH relativeFrom="column">
            <wp:posOffset>5301615</wp:posOffset>
          </wp:positionH>
          <wp:positionV relativeFrom="paragraph">
            <wp:posOffset>-500380</wp:posOffset>
          </wp:positionV>
          <wp:extent cx="334800" cy="248400"/>
          <wp:effectExtent l="0" t="0" r="825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_black.emf"/>
                  <pic:cNvPicPr/>
                </pic:nvPicPr>
                <pic:blipFill>
                  <a:blip r:embed="rId2">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E" w14:textId="77777777" w:rsidR="00FD65F4" w:rsidRPr="00E179CC" w:rsidRDefault="00FD65F4" w:rsidP="00DB0FA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0" w14:textId="77777777" w:rsidR="00242C7C" w:rsidRPr="00702E56" w:rsidRDefault="00242C7C" w:rsidP="00DB0FA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2" w14:textId="77777777" w:rsidR="00C74546" w:rsidRPr="00E232EB" w:rsidRDefault="00C74546" w:rsidP="00E232EB">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3" w14:textId="77777777" w:rsidR="00702E56" w:rsidRPr="00702E56" w:rsidRDefault="00371E6E" w:rsidP="00DB0FA2">
    <w:pPr>
      <w:pStyle w:val="Voettekst"/>
      <w:rPr>
        <w:noProof/>
      </w:rPr>
    </w:pPr>
    <w:r>
      <w:rPr>
        <w:noProof/>
        <w:lang w:val="fr-BE" w:eastAsia="fr-BE"/>
      </w:rPr>
      <mc:AlternateContent>
        <mc:Choice Requires="wps">
          <w:drawing>
            <wp:anchor distT="0" distB="0" distL="114300" distR="114300" simplePos="0" relativeHeight="251658244" behindDoc="0" locked="0" layoutInCell="1" allowOverlap="1" wp14:anchorId="251C358F" wp14:editId="251C3590">
              <wp:simplePos x="0" y="0"/>
              <wp:positionH relativeFrom="column">
                <wp:posOffset>2520315</wp:posOffset>
              </wp:positionH>
              <wp:positionV relativeFrom="paragraph">
                <wp:posOffset>0</wp:posOffset>
              </wp:positionV>
              <wp:extent cx="36000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C8C926" id="Straight Connector 10"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" strokecolor="red" strokeweight="1pt">
              <v:stroke joinstyle="miter"/>
            </v:line>
          </w:pict>
        </mc:Fallback>
      </mc:AlternateContent>
    </w:r>
    <w:r w:rsidR="00702E56" w:rsidRPr="00702E56">
      <w:fldChar w:fldCharType="begin"/>
    </w:r>
    <w:r w:rsidR="00702E56" w:rsidRPr="00702E56">
      <w:instrText xml:space="preserve"> PAGE   \* MERGEFORMAT </w:instrText>
    </w:r>
    <w:r w:rsidR="00702E56" w:rsidRPr="00702E56">
      <w:fldChar w:fldCharType="separate"/>
    </w:r>
    <w:r w:rsidR="00515FDD">
      <w:rPr>
        <w:noProof/>
      </w:rPr>
      <w:t>3</w:t>
    </w:r>
    <w:r w:rsidR="00702E56" w:rsidRPr="00702E56">
      <w:rPr>
        <w:noProof/>
      </w:rPr>
      <w:fldChar w:fldCharType="end"/>
    </w:r>
  </w:p>
  <w:p w14:paraId="251C3584" w14:textId="77777777" w:rsidR="00C74546" w:rsidRDefault="00C74546" w:rsidP="00DB0FA2"/>
  <w:p w14:paraId="251C3585" w14:textId="77777777" w:rsidR="005C4E6E" w:rsidRDefault="005C4E6E" w:rsidP="00DB0FA2"/>
  <w:p w14:paraId="251C3586" w14:textId="77777777" w:rsidR="005C4E6E" w:rsidRDefault="005C4E6E"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DDB0" w14:textId="77777777" w:rsidR="004A1414" w:rsidRPr="008E31A2" w:rsidRDefault="004A1414" w:rsidP="00DB0FA2">
      <w:r w:rsidRPr="008E31A2">
        <w:separator/>
      </w:r>
    </w:p>
  </w:footnote>
  <w:footnote w:type="continuationSeparator" w:id="0">
    <w:p w14:paraId="62314D14" w14:textId="77777777" w:rsidR="004A1414" w:rsidRPr="008E31A2" w:rsidRDefault="004A1414" w:rsidP="00DB0FA2">
      <w:r w:rsidRPr="008E31A2">
        <w:continuationSeparator/>
      </w:r>
    </w:p>
    <w:p w14:paraId="1866F58C" w14:textId="77777777" w:rsidR="004A1414" w:rsidRDefault="004A1414" w:rsidP="00DB0FA2"/>
    <w:p w14:paraId="40E6CA4F" w14:textId="77777777" w:rsidR="004A1414" w:rsidRDefault="004A1414" w:rsidP="00DB0FA2"/>
    <w:p w14:paraId="70EC195B" w14:textId="77777777" w:rsidR="004A1414" w:rsidRDefault="004A1414" w:rsidP="00DB0FA2"/>
  </w:footnote>
  <w:footnote w:type="continuationNotice" w:id="1">
    <w:p w14:paraId="02DCA15B" w14:textId="77777777" w:rsidR="004A1414" w:rsidRDefault="004A1414" w:rsidP="00DB0FA2"/>
    <w:p w14:paraId="6526CA9E" w14:textId="77777777" w:rsidR="004A1414" w:rsidRDefault="004A1414" w:rsidP="00DB0FA2"/>
    <w:p w14:paraId="1C37EFD6" w14:textId="77777777" w:rsidR="004A1414" w:rsidRDefault="004A1414" w:rsidP="00DB0FA2"/>
    <w:p w14:paraId="28F8A675" w14:textId="77777777" w:rsidR="004A1414" w:rsidRDefault="004A1414" w:rsidP="00DB0FA2"/>
  </w:footnote>
  <w:footnote w:id="2">
    <w:p w14:paraId="1D9D44BE" w14:textId="4E265411" w:rsidR="00CE55A4" w:rsidRDefault="00CE55A4">
      <w:pPr>
        <w:pStyle w:val="Voetnoottekst"/>
      </w:pPr>
      <w:r>
        <w:rPr>
          <w:rStyle w:val="Voetnootmarkering"/>
        </w:rPr>
        <w:footnoteRef/>
      </w:r>
      <w:r>
        <w:t xml:space="preserve"> </w:t>
      </w:r>
      <w:r w:rsidR="009F4459" w:rsidRPr="00D254A1">
        <w:t xml:space="preserve">Zie </w:t>
      </w:r>
      <w:hyperlink r:id="rId1" w:anchor="anchor-2" w:history="1">
        <w:r w:rsidR="008E5713" w:rsidRPr="00D254A1">
          <w:rPr>
            <w:rStyle w:val="Hyperlink"/>
          </w:rPr>
          <w:t>Publicatie van een overheidsopdracht | BOSA (belgium.be)</w:t>
        </w:r>
      </w:hyperlink>
      <w:r w:rsidR="008E5713" w:rsidRPr="00D254A1">
        <w:t xml:space="preserve"> </w:t>
      </w:r>
      <w:r w:rsidR="00982070" w:rsidRPr="00D254A1">
        <w:t xml:space="preserve">en </w:t>
      </w:r>
      <w:r w:rsidR="00CE5525" w:rsidRPr="00D254A1">
        <w:t xml:space="preserve">het ministerieel besluit van </w:t>
      </w:r>
      <w:hyperlink r:id="rId2" w:history="1">
        <w:r w:rsidR="00CE5525" w:rsidRPr="00D254A1">
          <w:rPr>
            <w:rStyle w:val="Hyperlink"/>
          </w:rPr>
          <w:t>8 december 2021</w:t>
        </w:r>
      </w:hyperlink>
      <w:r w:rsidR="00CE5525" w:rsidRPr="00D254A1">
        <w:t xml:space="preserve"> </w:t>
      </w:r>
      <w:r w:rsidR="008E5713" w:rsidRPr="00D254A1">
        <w:t xml:space="preserve">voor meer informatie over de actuele </w:t>
      </w:r>
      <w:r w:rsidR="006D7506" w:rsidRPr="00D254A1">
        <w:t>drempel</w:t>
      </w:r>
      <w:r w:rsidR="008E5713" w:rsidRPr="00D254A1">
        <w:t>bedragen en de wettelijke basis</w:t>
      </w:r>
      <w:r w:rsidR="00004B0D" w:rsidRPr="00D254A1">
        <w:t xml:space="preserve"> voor het tweejaarlijks herzien van d</w:t>
      </w:r>
      <w:r w:rsidR="006D7506" w:rsidRPr="00D254A1">
        <w:t xml:space="preserve">ie </w:t>
      </w:r>
      <w:r w:rsidR="00004B0D" w:rsidRPr="00D254A1">
        <w:t xml:space="preserve">drempelbedragen. </w:t>
      </w:r>
      <w:r w:rsidR="00004B0D" w:rsidRPr="00D254A1">
        <w:rPr>
          <w:b/>
          <w:bCs/>
        </w:rPr>
        <w:t>Wanneer in het charter gesproken wordt over Europese (</w:t>
      </w:r>
      <w:proofErr w:type="spellStart"/>
      <w:r w:rsidR="00004B0D" w:rsidRPr="00D254A1">
        <w:rPr>
          <w:b/>
          <w:bCs/>
        </w:rPr>
        <w:t>bekendmakings</w:t>
      </w:r>
      <w:proofErr w:type="spellEnd"/>
      <w:r w:rsidR="00004B0D" w:rsidRPr="00D254A1">
        <w:rPr>
          <w:b/>
          <w:bCs/>
        </w:rPr>
        <w:t>)drempels, dan wordt dus verwezen naar die drempelbedragen</w:t>
      </w:r>
      <w:r w:rsidR="00004B0D" w:rsidRPr="00D254A1">
        <w:t>.</w:t>
      </w:r>
      <w:r w:rsidR="00004B0D">
        <w:t xml:space="preserve"> </w:t>
      </w:r>
    </w:p>
  </w:footnote>
  <w:footnote w:id="3">
    <w:p w14:paraId="7D65C707" w14:textId="027C308B" w:rsidR="003F51ED" w:rsidRDefault="003F51ED">
      <w:pPr>
        <w:pStyle w:val="Voetnoottekst"/>
      </w:pPr>
      <w:r>
        <w:rPr>
          <w:rStyle w:val="Voetnootmarkering"/>
        </w:rPr>
        <w:footnoteRef/>
      </w:r>
      <w:r>
        <w:t xml:space="preserve"> </w:t>
      </w:r>
      <w:r w:rsidRPr="003F51ED">
        <w:t xml:space="preserve">De </w:t>
      </w:r>
      <w:r>
        <w:t>STL</w:t>
      </w:r>
      <w:r w:rsidRPr="003F51ED">
        <w:t xml:space="preserve"> </w:t>
      </w:r>
      <w:r w:rsidR="00837B76">
        <w:t xml:space="preserve">werd </w:t>
      </w:r>
      <w:r w:rsidRPr="003F51ED">
        <w:t>opgesteld door de G30</w:t>
      </w:r>
      <w:r w:rsidR="006A54AB">
        <w:t xml:space="preserve"> (</w:t>
      </w:r>
      <w:r w:rsidR="001C67B2">
        <w:t xml:space="preserve">vereniging van </w:t>
      </w:r>
      <w:r w:rsidR="006A54AB">
        <w:t>architecten)</w:t>
      </w:r>
      <w:r w:rsidRPr="003F51ED">
        <w:t>, ORI</w:t>
      </w:r>
      <w:r w:rsidR="0011478A">
        <w:t xml:space="preserve"> (</w:t>
      </w:r>
      <w:r w:rsidR="0018527C" w:rsidRPr="0018527C">
        <w:t>nationale sectororganisatie van advies- en ingenieursbureaus</w:t>
      </w:r>
      <w:r w:rsidR="0011478A">
        <w:t>)</w:t>
      </w:r>
      <w:r w:rsidRPr="003F51ED">
        <w:t xml:space="preserve"> en VBA-ADEB</w:t>
      </w:r>
      <w:r w:rsidR="00E74BC8">
        <w:t xml:space="preserve"> (</w:t>
      </w:r>
      <w:r w:rsidR="003F7EB0" w:rsidRPr="00E74BC8">
        <w:t xml:space="preserve">Vereniging </w:t>
      </w:r>
      <w:r w:rsidR="003F7EB0">
        <w:t>d</w:t>
      </w:r>
      <w:r w:rsidR="003F7EB0" w:rsidRPr="00E74BC8">
        <w:t xml:space="preserve">er Belgische </w:t>
      </w:r>
      <w:r w:rsidR="003F7EB0">
        <w:t>A</w:t>
      </w:r>
      <w:r w:rsidR="003F7EB0" w:rsidRPr="00E74BC8">
        <w:t xml:space="preserve">annemers </w:t>
      </w:r>
      <w:r w:rsidR="003F7EB0">
        <w:t>v</w:t>
      </w:r>
      <w:r w:rsidR="003F7EB0" w:rsidRPr="00E74BC8">
        <w:t>an Grote Bouwwerken</w:t>
      </w:r>
      <w:r w:rsidR="00E74BC8">
        <w:t>)</w:t>
      </w:r>
      <w:r w:rsidR="00111BC7">
        <w:t>,</w:t>
      </w:r>
      <w:r w:rsidRPr="003F51ED">
        <w:t xml:space="preserve"> rekening houdende met feedback van het UPSI-BVS</w:t>
      </w:r>
      <w:r w:rsidR="0035052A">
        <w:t xml:space="preserve"> (</w:t>
      </w:r>
      <w:r w:rsidR="006B4D8F">
        <w:t>Beroepsvereniging van de V</w:t>
      </w:r>
      <w:r w:rsidR="0035052A">
        <w:t>astgoedsector)</w:t>
      </w:r>
      <w:r w:rsidRPr="003F51ED">
        <w:t>, NAV</w:t>
      </w:r>
      <w:r w:rsidR="006A54AB">
        <w:t xml:space="preserve"> (</w:t>
      </w:r>
      <w:r w:rsidR="00B65854">
        <w:t>Netwerk A</w:t>
      </w:r>
      <w:r w:rsidR="006A54AB">
        <w:t>rchitecten</w:t>
      </w:r>
      <w:r w:rsidR="00B65854">
        <w:t xml:space="preserve"> Vlaanderen</w:t>
      </w:r>
      <w:r w:rsidR="006A54AB">
        <w:t>)</w:t>
      </w:r>
      <w:r w:rsidRPr="003F51ED">
        <w:t xml:space="preserve"> en </w:t>
      </w:r>
      <w:proofErr w:type="spellStart"/>
      <w:r w:rsidRPr="003F51ED">
        <w:t>Buildwise</w:t>
      </w:r>
      <w:proofErr w:type="spellEnd"/>
      <w:r w:rsidR="00720232">
        <w:t xml:space="preserve"> (</w:t>
      </w:r>
      <w:r w:rsidR="00720232" w:rsidRPr="00720232">
        <w:t xml:space="preserve">het vroegere Wetenschappelijk en Technisch Centrum voor het Bouwbedrijf </w:t>
      </w:r>
      <w:r w:rsidR="00190FC6">
        <w:t xml:space="preserve">of </w:t>
      </w:r>
      <w:r w:rsidR="00720232" w:rsidRPr="00720232">
        <w:t>WTCB</w:t>
      </w:r>
      <w:r w:rsidR="00A45D9D">
        <w:t>)</w:t>
      </w:r>
      <w:r w:rsidRPr="003F51ED">
        <w:t>.</w:t>
      </w:r>
    </w:p>
  </w:footnote>
  <w:footnote w:id="4">
    <w:p w14:paraId="4F34EA3C" w14:textId="42EC22AD" w:rsidR="009D167F" w:rsidRPr="00934ECA" w:rsidRDefault="009D167F" w:rsidP="009D167F">
      <w:pPr>
        <w:pStyle w:val="Voetnoottekst"/>
      </w:pPr>
      <w:r w:rsidRPr="68569EE3">
        <w:rPr>
          <w:rStyle w:val="Voetnootmarkering"/>
        </w:rPr>
        <w:footnoteRef/>
      </w:r>
      <w:r w:rsidRPr="00934ECA">
        <w:t xml:space="preserve"> </w:t>
      </w:r>
      <w:r w:rsidRPr="00ED00B0">
        <w:t>Zie artikel 12 in het Verslag aan de Koning van het KB van 18 april 2017 voor een uitgewerkt voorbeeld.</w:t>
      </w:r>
    </w:p>
  </w:footnote>
  <w:footnote w:id="5">
    <w:p w14:paraId="74AD0EA8" w14:textId="2B1EA42E" w:rsidR="00FA3320" w:rsidRDefault="00FA3320">
      <w:pPr>
        <w:pStyle w:val="Voetnoottekst"/>
      </w:pPr>
      <w:r>
        <w:rPr>
          <w:rStyle w:val="Voetnootmarkering"/>
        </w:rPr>
        <w:footnoteRef/>
      </w:r>
      <w:r>
        <w:t xml:space="preserve"> Tenzij objectieve redenen dat rechtvaardigen. </w:t>
      </w:r>
    </w:p>
  </w:footnote>
  <w:footnote w:id="6">
    <w:p w14:paraId="4ECC3E51" w14:textId="77777777" w:rsidR="001C6A2D" w:rsidRDefault="001C6A2D" w:rsidP="001C6A2D">
      <w:pPr>
        <w:pStyle w:val="Voetnoottekst"/>
      </w:pPr>
      <w:r>
        <w:rPr>
          <w:rStyle w:val="Voetnootmarkering"/>
        </w:rPr>
        <w:footnoteRef/>
      </w:r>
      <w:r>
        <w:t xml:space="preserve"> </w:t>
      </w:r>
      <w:r w:rsidRPr="004210CC">
        <w:t>De aanbestedende overheid vermeldt de voornaamste redenen voor het opleggen van een dergelijke eis in de opdrachtdocumenten of in de te bewaren inlichtingen in de zin van artikel 164, § 1, van de wet.</w:t>
      </w:r>
    </w:p>
  </w:footnote>
  <w:footnote w:id="7">
    <w:p w14:paraId="30B76BFE" w14:textId="5D02DCD5" w:rsidR="00094E75" w:rsidRDefault="00094E75" w:rsidP="00094E75">
      <w:pPr>
        <w:pStyle w:val="Voetnoottekst"/>
      </w:pPr>
      <w:r w:rsidRPr="3273CE1F">
        <w:rPr>
          <w:rStyle w:val="Voetnootmarkering"/>
        </w:rPr>
        <w:footnoteRef/>
      </w:r>
      <w:r>
        <w:t xml:space="preserve"> </w:t>
      </w:r>
      <w:r w:rsidR="00AC2A57">
        <w:t xml:space="preserve">Zie </w:t>
      </w:r>
      <w:r w:rsidR="00B50D00" w:rsidRPr="00AC2A57">
        <w:rPr>
          <w:rStyle w:val="Hyperlink"/>
          <w:color w:val="auto"/>
          <w:u w:val="none"/>
        </w:rPr>
        <w:t xml:space="preserve">ook </w:t>
      </w:r>
      <w:hyperlink r:id="rId3" w:history="1">
        <w:r w:rsidR="00B50D00" w:rsidRPr="00372529">
          <w:rPr>
            <w:rStyle w:val="Hyperlink"/>
          </w:rPr>
          <w:t>https://www.siod.belgie.be/nl/sociale-fraude/sociale-dumping</w:t>
        </w:r>
      </w:hyperlink>
      <w:r w:rsidR="00B50D00" w:rsidRPr="00AC2A57">
        <w:rPr>
          <w:rStyle w:val="Hyperlink"/>
          <w:color w:val="auto"/>
          <w:u w:val="none"/>
        </w:rPr>
        <w:t xml:space="preserve"> voor meer informatie.</w:t>
      </w:r>
      <w:r w:rsidR="00B50D00" w:rsidRPr="00AC2A57">
        <w:rPr>
          <w:rStyle w:val="Hyperlink"/>
          <w:color w:val="auto"/>
        </w:rPr>
        <w:t xml:space="preserve"> </w:t>
      </w:r>
      <w:r w:rsidRPr="00AC2A57">
        <w:rPr>
          <w:u w:val="single"/>
        </w:rPr>
        <w:t xml:space="preserve"> </w:t>
      </w:r>
      <w:r w:rsidRPr="00AC2A57">
        <w:t xml:space="preserve"> </w:t>
      </w:r>
    </w:p>
  </w:footnote>
  <w:footnote w:id="8">
    <w:p w14:paraId="6AA19F19" w14:textId="5C27634A" w:rsidR="000631D8" w:rsidRDefault="000631D8">
      <w:pPr>
        <w:pStyle w:val="Voetnoottekst"/>
      </w:pPr>
      <w:r>
        <w:rPr>
          <w:rStyle w:val="Voetnootmarkering"/>
        </w:rPr>
        <w:footnoteRef/>
      </w:r>
      <w:r>
        <w:t xml:space="preserve"> Voor een gebouw met een </w:t>
      </w:r>
      <w:r w:rsidR="00F25A32">
        <w:t xml:space="preserve">cyclus van 30 jaar worden de bouwkosten op 25 % van de </w:t>
      </w:r>
      <w:proofErr w:type="spellStart"/>
      <w:r w:rsidR="00F25A32">
        <w:t>tco</w:t>
      </w:r>
      <w:proofErr w:type="spellEnd"/>
      <w:r w:rsidR="00F25A32">
        <w:t xml:space="preserve"> geschat en de onderhoudskosten op 75 %. </w:t>
      </w:r>
      <w:r w:rsidR="00D419DD">
        <w:t>De studiekosten</w:t>
      </w:r>
      <w:r w:rsidR="007D1CAF">
        <w:t xml:space="preserve"> (het ontwerp)</w:t>
      </w:r>
      <w:r w:rsidR="00D419DD">
        <w:t xml:space="preserve"> </w:t>
      </w:r>
      <w:r w:rsidR="00FA6CFF">
        <w:t>voor het gebouw maken één tiende uit van de bouwkosten</w:t>
      </w:r>
      <w:r w:rsidR="00277103">
        <w:t xml:space="preserve">, </w:t>
      </w:r>
      <w:r w:rsidR="00FA2607">
        <w:t>of</w:t>
      </w:r>
      <w:r w:rsidR="00277103">
        <w:t xml:space="preserve">: 2,5 % van de </w:t>
      </w:r>
      <w:proofErr w:type="spellStart"/>
      <w:r w:rsidR="00277103">
        <w:t>tco</w:t>
      </w:r>
      <w:proofErr w:type="spellEnd"/>
      <w:r w:rsidR="00277103">
        <w:t xml:space="preserve"> kan een enorme impact hebben op de andere 97,5 %. </w:t>
      </w:r>
    </w:p>
  </w:footnote>
  <w:footnote w:id="9">
    <w:p w14:paraId="2F0EB6D5" w14:textId="0839AD0A" w:rsidR="00716CAF" w:rsidRDefault="00716CAF" w:rsidP="0023154A">
      <w:pPr>
        <w:pStyle w:val="Voetnoottekst"/>
      </w:pPr>
      <w:r w:rsidRPr="3273CE1F">
        <w:rPr>
          <w:rStyle w:val="Voetnootmarkering"/>
        </w:rPr>
        <w:footnoteRef/>
      </w:r>
      <w:r w:rsidRPr="3273CE1F">
        <w:t xml:space="preserve"> </w:t>
      </w:r>
      <w:r w:rsidR="002906F4" w:rsidRPr="001E460C">
        <w:t xml:space="preserve">Zie ook </w:t>
      </w:r>
      <w:hyperlink r:id="rId4" w:history="1">
        <w:r w:rsidR="002906F4" w:rsidRPr="001E460C">
          <w:rPr>
            <w:rStyle w:val="Hyperlink"/>
            <w:rFonts w:eastAsia="Segoe UI" w:cs="Segoe UI"/>
            <w:szCs w:val="18"/>
          </w:rPr>
          <w:t>https://gidsvoorduurzameaankopen.be/nl/economie/levenscycluskosten-art-82-van-de-wetgeving-van-17-juni-2016</w:t>
        </w:r>
      </w:hyperlink>
      <w:r w:rsidRPr="001E460C">
        <w:rPr>
          <w:rFonts w:eastAsia="Segoe UI" w:cs="Segoe UI"/>
          <w:szCs w:val="18"/>
        </w:rPr>
        <w:t xml:space="preserve"> en </w:t>
      </w:r>
      <w:hyperlink r:id="rId5" w:history="1">
        <w:r w:rsidRPr="001E460C">
          <w:rPr>
            <w:rStyle w:val="Hyperlink"/>
            <w:rFonts w:eastAsia="Segoe UI" w:cs="Segoe UI"/>
            <w:szCs w:val="18"/>
          </w:rPr>
          <w:t>https://gidsvoorduurzameaankopen.be/nl/milieu/levenscycluskost</w:t>
        </w:r>
      </w:hyperlink>
      <w:r w:rsidR="002906F4" w:rsidRPr="001E460C">
        <w:t>.</w:t>
      </w:r>
    </w:p>
  </w:footnote>
  <w:footnote w:id="10">
    <w:p w14:paraId="1EE34813" w14:textId="77777777" w:rsidR="00894899" w:rsidRDefault="00894899" w:rsidP="00894899">
      <w:pPr>
        <w:pStyle w:val="Voetnoottekst"/>
      </w:pPr>
      <w:r>
        <w:rPr>
          <w:rStyle w:val="Voetnootmarkering"/>
        </w:rPr>
        <w:footnoteRef/>
      </w:r>
      <w:r>
        <w:t xml:space="preserve"> Gedefinieerd volgens de wet van 17 juni 2016 als een “</w:t>
      </w:r>
      <w:r w:rsidRPr="00B01520">
        <w:rPr>
          <w:i/>
          <w:iCs/>
        </w:rPr>
        <w:t>aanbestedende overheid die gecentraliseerde aankoopactiviteiten en eventueel aanvullende aankoopactiviteiten verricht</w:t>
      </w:r>
      <w:r>
        <w:t xml:space="preserve">”. </w:t>
      </w:r>
    </w:p>
  </w:footnote>
  <w:footnote w:id="11">
    <w:p w14:paraId="35405055" w14:textId="77777777" w:rsidR="005845E3" w:rsidRDefault="005845E3" w:rsidP="005845E3">
      <w:pPr>
        <w:pStyle w:val="Voetnoottekst"/>
      </w:pPr>
      <w:r>
        <w:rPr>
          <w:rStyle w:val="Voetnootmarkering"/>
        </w:rPr>
        <w:footnoteRef/>
      </w:r>
      <w:r>
        <w:t xml:space="preserve"> Raamovereenkomsten worden in het kader van dit charter toegelicht onder principe 12 over “kleine, repetitieve opdrachten”, maar kennen in het algemeen een breder toepassingsgebied dan dat. Zo kunnen raamovereenkomsten ook vanzelfsprekend voor bijvoorbeeld grotere opdrachten afgesloten worden.</w:t>
      </w:r>
    </w:p>
  </w:footnote>
  <w:footnote w:id="12">
    <w:p w14:paraId="64AB1569" w14:textId="2CEA717C" w:rsidR="004A0A3F" w:rsidRPr="00936E3F" w:rsidRDefault="004A0A3F" w:rsidP="004A0A3F">
      <w:pPr>
        <w:pStyle w:val="Voetnoottekst"/>
        <w:rPr>
          <w:szCs w:val="18"/>
        </w:rPr>
      </w:pPr>
      <w:r>
        <w:rPr>
          <w:rStyle w:val="Voetnootmarkering"/>
        </w:rPr>
        <w:footnoteRef/>
      </w:r>
      <w:r>
        <w:t xml:space="preserve"> </w:t>
      </w:r>
      <w:r w:rsidRPr="00936E3F">
        <w:rPr>
          <w:szCs w:val="18"/>
        </w:rPr>
        <w:t xml:space="preserve">Zie het </w:t>
      </w:r>
      <w:r w:rsidR="00CB6869" w:rsidRPr="00FF769D">
        <w:rPr>
          <w:szCs w:val="18"/>
        </w:rPr>
        <w:t>KB</w:t>
      </w:r>
      <w:r w:rsidR="007D094A" w:rsidRPr="00FF769D">
        <w:rPr>
          <w:szCs w:val="18"/>
        </w:rPr>
        <w:t xml:space="preserve"> </w:t>
      </w:r>
      <w:r w:rsidRPr="00FF769D">
        <w:rPr>
          <w:szCs w:val="18"/>
        </w:rPr>
        <w:t xml:space="preserve">van </w:t>
      </w:r>
      <w:r w:rsidR="00FF769D" w:rsidRPr="00FF769D">
        <w:rPr>
          <w:szCs w:val="18"/>
        </w:rPr>
        <w:t xml:space="preserve">21 juli </w:t>
      </w:r>
      <w:r w:rsidRPr="00FF769D">
        <w:rPr>
          <w:szCs w:val="18"/>
        </w:rPr>
        <w:t>20</w:t>
      </w:r>
      <w:r w:rsidR="00FF769D" w:rsidRPr="00FF769D">
        <w:rPr>
          <w:szCs w:val="18"/>
        </w:rPr>
        <w:t>23</w:t>
      </w:r>
      <w:r w:rsidRPr="00936E3F">
        <w:rPr>
          <w:szCs w:val="18"/>
        </w:rPr>
        <w:t xml:space="preserve">  en de wet van 17 juni 2016 (onder </w:t>
      </w:r>
      <w:r w:rsidR="007661E8">
        <w:rPr>
          <w:szCs w:val="18"/>
        </w:rPr>
        <w:t>meer</w:t>
      </w:r>
      <w:r w:rsidRPr="00936E3F">
        <w:rPr>
          <w:szCs w:val="18"/>
        </w:rPr>
        <w:t xml:space="preserve"> artikel 163).</w:t>
      </w:r>
    </w:p>
  </w:footnote>
  <w:footnote w:id="13">
    <w:p w14:paraId="1261527C" w14:textId="77777777" w:rsidR="004A0A3F" w:rsidRDefault="004A0A3F" w:rsidP="004A0A3F">
      <w:pPr>
        <w:pStyle w:val="Voetnoottekst"/>
      </w:pPr>
      <w:r>
        <w:rPr>
          <w:rStyle w:val="Voetnootmarkering"/>
        </w:rPr>
        <w:footnoteRef/>
      </w:r>
      <w:r>
        <w:t xml:space="preserve"> </w:t>
      </w:r>
      <w:hyperlink r:id="rId6" w:history="1">
        <w:r w:rsidRPr="00936E3F">
          <w:rPr>
            <w:rStyle w:val="Hyperlink"/>
            <w:szCs w:val="18"/>
          </w:rPr>
          <w:t>https://ec.europa.eu/growth/smes/business-friendly-environment/sme-definition_nl</w:t>
        </w:r>
      </w:hyperlink>
    </w:p>
  </w:footnote>
  <w:footnote w:id="14">
    <w:p w14:paraId="2E12B329" w14:textId="6AE70A07" w:rsidR="00DC4222" w:rsidRDefault="00DC4222" w:rsidP="00DC4222">
      <w:pPr>
        <w:pStyle w:val="Voetnoottekst"/>
      </w:pPr>
      <w:r>
        <w:rPr>
          <w:rStyle w:val="Voetnootmarkering"/>
        </w:rPr>
        <w:footnoteRef/>
      </w:r>
      <w:r>
        <w:t xml:space="preserve"> </w:t>
      </w:r>
      <w:r w:rsidRPr="00B94F01">
        <w:rPr>
          <w:szCs w:val="18"/>
        </w:rPr>
        <w:t xml:space="preserve">Zie </w:t>
      </w:r>
      <w:r>
        <w:rPr>
          <w:szCs w:val="18"/>
        </w:rPr>
        <w:t xml:space="preserve">artikel 163 en verder van de wet van </w:t>
      </w:r>
      <w:hyperlink r:id="rId7" w:history="1">
        <w:r w:rsidRPr="00224B14">
          <w:rPr>
            <w:rStyle w:val="Hyperlink"/>
            <w:szCs w:val="18"/>
          </w:rPr>
          <w:t>17 juni 2016</w:t>
        </w:r>
      </w:hyperlink>
      <w:r>
        <w:rPr>
          <w:szCs w:val="18"/>
        </w:rPr>
        <w:t xml:space="preserve">, en </w:t>
      </w:r>
      <w:hyperlink r:id="rId8" w:history="1">
        <w:r w:rsidRPr="00F31438">
          <w:rPr>
            <w:rStyle w:val="Hyperlink"/>
            <w:szCs w:val="18"/>
          </w:rPr>
          <w:t>https://bosa.belgium.be/nl/themas/overheids-opdrachten/reglementering/toezichtrapporten</w:t>
        </w:r>
      </w:hyperlink>
      <w:r w:rsidRPr="00B94F01">
        <w:rPr>
          <w:szCs w:val="18"/>
        </w:rPr>
        <w:t xml:space="preserve"> voor de rapporten die reeds opgesteld en gepubliceerd werden. </w:t>
      </w:r>
    </w:p>
  </w:footnote>
  <w:footnote w:id="15">
    <w:p w14:paraId="30C143B5" w14:textId="77777777" w:rsidR="00980323" w:rsidRDefault="00980323" w:rsidP="00980323">
      <w:pPr>
        <w:pStyle w:val="Voetnoottekst"/>
      </w:pPr>
      <w:r>
        <w:rPr>
          <w:rStyle w:val="Voetnootmarkering"/>
        </w:rPr>
        <w:footnoteRef/>
      </w:r>
      <w:r>
        <w:t xml:space="preserve"> </w:t>
      </w:r>
      <w:r w:rsidRPr="00B94F01">
        <w:rPr>
          <w:szCs w:val="18"/>
        </w:rPr>
        <w:t xml:space="preserve">Zie </w:t>
      </w:r>
      <w:hyperlink r:id="rId9" w:history="1">
        <w:r w:rsidRPr="00B94F01">
          <w:rPr>
            <w:rStyle w:val="Hyperlink"/>
            <w:szCs w:val="18"/>
          </w:rPr>
          <w:t>https://bosa.belgium.be/nl/themas/overheids-opdrachten/federaal-aankoopbeleid/model-en-doelstellingen</w:t>
        </w:r>
      </w:hyperlink>
      <w:r w:rsidRPr="00B94F01">
        <w:rPr>
          <w:szCs w:val="18"/>
        </w:rPr>
        <w:t xml:space="preserve"> voor meer informatie.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45682C9" w14:paraId="77C773CD" w14:textId="77777777" w:rsidTr="745682C9">
      <w:trPr>
        <w:trHeight w:val="300"/>
      </w:trPr>
      <w:tc>
        <w:tcPr>
          <w:tcW w:w="2830" w:type="dxa"/>
        </w:tcPr>
        <w:p w14:paraId="1992EEB7" w14:textId="46287F51" w:rsidR="745682C9" w:rsidRDefault="745682C9" w:rsidP="745682C9">
          <w:pPr>
            <w:pStyle w:val="Koptekst"/>
            <w:ind w:left="-115"/>
          </w:pPr>
        </w:p>
      </w:tc>
      <w:tc>
        <w:tcPr>
          <w:tcW w:w="2830" w:type="dxa"/>
        </w:tcPr>
        <w:p w14:paraId="3285541F" w14:textId="1BC85BA5" w:rsidR="745682C9" w:rsidRDefault="745682C9" w:rsidP="745682C9">
          <w:pPr>
            <w:pStyle w:val="Koptekst"/>
            <w:jc w:val="center"/>
          </w:pPr>
        </w:p>
      </w:tc>
      <w:tc>
        <w:tcPr>
          <w:tcW w:w="2830" w:type="dxa"/>
        </w:tcPr>
        <w:p w14:paraId="468CC9D8" w14:textId="1F9FFAD1" w:rsidR="745682C9" w:rsidRDefault="745682C9" w:rsidP="745682C9">
          <w:pPr>
            <w:pStyle w:val="Koptekst"/>
            <w:ind w:right="-115"/>
            <w:jc w:val="right"/>
          </w:pPr>
        </w:p>
      </w:tc>
    </w:tr>
  </w:tbl>
  <w:p w14:paraId="71BAFFC8" w14:textId="4DAD876D" w:rsidR="745682C9" w:rsidRDefault="745682C9" w:rsidP="745682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D" w14:textId="77777777" w:rsidR="00515FDD" w:rsidRDefault="00515FDD" w:rsidP="00515FDD">
    <w:pPr>
      <w:pStyle w:val="Koptekst"/>
      <w:tabs>
        <w:tab w:val="clear" w:pos="4680"/>
        <w:tab w:val="clear" w:pos="9360"/>
      </w:tabs>
      <w:ind w:right="-1135"/>
      <w:jc w:val="right"/>
    </w:pPr>
    <w:r>
      <w:fldChar w:fldCharType="begin"/>
    </w:r>
    <w:r>
      <w:instrText xml:space="preserve"> PAGE   \* MERGEFORMAT </w:instrText>
    </w:r>
    <w:r>
      <w:fldChar w:fldCharType="separate"/>
    </w:r>
    <w:r w:rsidR="00B00CAF">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7F" w14:textId="77777777" w:rsidR="00515FDD" w:rsidRDefault="00515FDD" w:rsidP="00515FDD">
    <w:pPr>
      <w:pStyle w:val="Koptekst"/>
      <w:tabs>
        <w:tab w:val="clear" w:pos="4680"/>
        <w:tab w:val="clear" w:pos="9360"/>
      </w:tabs>
      <w:ind w:right="-852"/>
      <w:jc w:val="right"/>
    </w:pPr>
    <w:r>
      <w:fldChar w:fldCharType="begin"/>
    </w:r>
    <w:r>
      <w:instrText xml:space="preserve"> PAGE   \* MERGEFORMAT </w:instrText>
    </w:r>
    <w:r>
      <w:fldChar w:fldCharType="separate"/>
    </w:r>
    <w:r>
      <w:rPr>
        <w:noProof/>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3581" w14:textId="77777777" w:rsidR="002E7428" w:rsidRDefault="002E7428" w:rsidP="00515FDD">
    <w:pPr>
      <w:pStyle w:val="Koptekst"/>
      <w:tabs>
        <w:tab w:val="clear" w:pos="4680"/>
        <w:tab w:val="clear" w:pos="9360"/>
      </w:tabs>
      <w:ind w:right="-1135"/>
      <w:jc w:val="right"/>
    </w:pPr>
    <w:r>
      <w:fldChar w:fldCharType="begin"/>
    </w:r>
    <w:r>
      <w:instrText xml:space="preserve"> PAGE   \* MERGEFORMAT </w:instrText>
    </w:r>
    <w:r>
      <w:fldChar w:fldCharType="separate"/>
    </w:r>
    <w:r w:rsidR="00B00CAF">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D2C4F0A"/>
    <w:lvl w:ilvl="0">
      <w:start w:val="1"/>
      <w:numFmt w:val="decimal"/>
      <w:pStyle w:val="Lijstnummering3"/>
      <w:lvlText w:val="%1."/>
      <w:lvlJc w:val="left"/>
      <w:pPr>
        <w:tabs>
          <w:tab w:val="num" w:pos="926"/>
        </w:tabs>
        <w:ind w:left="926" w:hanging="360"/>
      </w:pPr>
    </w:lvl>
  </w:abstractNum>
  <w:abstractNum w:abstractNumId="1" w15:restartNumberingAfterBreak="0">
    <w:nsid w:val="FFFFFF88"/>
    <w:multiLevelType w:val="singleLevel"/>
    <w:tmpl w:val="AD88A728"/>
    <w:lvl w:ilvl="0">
      <w:start w:val="1"/>
      <w:numFmt w:val="decimal"/>
      <w:pStyle w:val="Lijstnummering"/>
      <w:lvlText w:val="%1."/>
      <w:lvlJc w:val="left"/>
      <w:pPr>
        <w:tabs>
          <w:tab w:val="num" w:pos="360"/>
        </w:tabs>
        <w:ind w:left="360" w:hanging="360"/>
      </w:pPr>
    </w:lvl>
  </w:abstractNum>
  <w:abstractNum w:abstractNumId="2"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A1113"/>
    <w:multiLevelType w:val="hybridMultilevel"/>
    <w:tmpl w:val="59A45A96"/>
    <w:lvl w:ilvl="0" w:tplc="C41E5B10">
      <w:start w:val="1"/>
      <w:numFmt w:val="decimal"/>
      <w:pStyle w:val="Lijstnummer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47B37"/>
    <w:multiLevelType w:val="hybridMultilevel"/>
    <w:tmpl w:val="903CF6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B859A2"/>
    <w:multiLevelType w:val="multilevel"/>
    <w:tmpl w:val="93802DD8"/>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0AA351A"/>
    <w:multiLevelType w:val="hybridMultilevel"/>
    <w:tmpl w:val="25EEA7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8998D2D"/>
    <w:multiLevelType w:val="hybridMultilevel"/>
    <w:tmpl w:val="CF322E3A"/>
    <w:lvl w:ilvl="0" w:tplc="B066E91E">
      <w:start w:val="1"/>
      <w:numFmt w:val="decimal"/>
      <w:lvlText w:val="%1."/>
      <w:lvlJc w:val="left"/>
      <w:pPr>
        <w:ind w:left="720" w:hanging="360"/>
      </w:pPr>
    </w:lvl>
    <w:lvl w:ilvl="1" w:tplc="A27A9934">
      <w:start w:val="1"/>
      <w:numFmt w:val="lowerLetter"/>
      <w:lvlText w:val="%2."/>
      <w:lvlJc w:val="left"/>
      <w:pPr>
        <w:ind w:left="1440" w:hanging="360"/>
      </w:pPr>
    </w:lvl>
    <w:lvl w:ilvl="2" w:tplc="10866012">
      <w:start w:val="1"/>
      <w:numFmt w:val="lowerRoman"/>
      <w:lvlText w:val="%3."/>
      <w:lvlJc w:val="right"/>
      <w:pPr>
        <w:ind w:left="2160" w:hanging="180"/>
      </w:pPr>
    </w:lvl>
    <w:lvl w:ilvl="3" w:tplc="224ACCDA">
      <w:start w:val="2"/>
      <w:numFmt w:val="decimal"/>
      <w:pStyle w:val="puce2"/>
      <w:lvlText w:val="%4."/>
      <w:lvlJc w:val="left"/>
      <w:pPr>
        <w:ind w:left="2880" w:hanging="360"/>
      </w:pPr>
      <w:rPr>
        <w:rFonts w:ascii="Verdana" w:hAnsi="Verdana" w:hint="default"/>
      </w:rPr>
    </w:lvl>
    <w:lvl w:ilvl="4" w:tplc="641281CE">
      <w:start w:val="1"/>
      <w:numFmt w:val="lowerLetter"/>
      <w:lvlText w:val="%5."/>
      <w:lvlJc w:val="left"/>
      <w:pPr>
        <w:ind w:left="3600" w:hanging="360"/>
      </w:pPr>
    </w:lvl>
    <w:lvl w:ilvl="5" w:tplc="28AEEF98">
      <w:start w:val="1"/>
      <w:numFmt w:val="lowerRoman"/>
      <w:lvlText w:val="%6."/>
      <w:lvlJc w:val="right"/>
      <w:pPr>
        <w:ind w:left="4320" w:hanging="180"/>
      </w:pPr>
    </w:lvl>
    <w:lvl w:ilvl="6" w:tplc="572465E8">
      <w:start w:val="1"/>
      <w:numFmt w:val="decimal"/>
      <w:lvlText w:val="%7."/>
      <w:lvlJc w:val="left"/>
      <w:pPr>
        <w:ind w:left="5040" w:hanging="360"/>
      </w:pPr>
    </w:lvl>
    <w:lvl w:ilvl="7" w:tplc="DE483522">
      <w:start w:val="1"/>
      <w:numFmt w:val="lowerLetter"/>
      <w:lvlText w:val="%8."/>
      <w:lvlJc w:val="left"/>
      <w:pPr>
        <w:ind w:left="5760" w:hanging="360"/>
      </w:pPr>
    </w:lvl>
    <w:lvl w:ilvl="8" w:tplc="C268C968">
      <w:start w:val="1"/>
      <w:numFmt w:val="lowerRoman"/>
      <w:lvlText w:val="%9."/>
      <w:lvlJc w:val="right"/>
      <w:pPr>
        <w:ind w:left="6480" w:hanging="180"/>
      </w:pPr>
    </w:lvl>
  </w:abstractNum>
  <w:abstractNum w:abstractNumId="9" w15:restartNumberingAfterBreak="0">
    <w:nsid w:val="6DAF331E"/>
    <w:multiLevelType w:val="hybridMultilevel"/>
    <w:tmpl w:val="606459CE"/>
    <w:lvl w:ilvl="0" w:tplc="8C3A127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498494">
    <w:abstractNumId w:val="6"/>
  </w:num>
  <w:num w:numId="2" w16cid:durableId="1482886290">
    <w:abstractNumId w:val="2"/>
  </w:num>
  <w:num w:numId="3" w16cid:durableId="53550226">
    <w:abstractNumId w:val="3"/>
  </w:num>
  <w:num w:numId="4" w16cid:durableId="1567451672">
    <w:abstractNumId w:val="10"/>
  </w:num>
  <w:num w:numId="5" w16cid:durableId="955715611">
    <w:abstractNumId w:val="0"/>
  </w:num>
  <w:num w:numId="6" w16cid:durableId="1636519424">
    <w:abstractNumId w:val="4"/>
  </w:num>
  <w:num w:numId="7" w16cid:durableId="251279874">
    <w:abstractNumId w:val="1"/>
    <w:lvlOverride w:ilvl="0">
      <w:startOverride w:val="1"/>
    </w:lvlOverride>
  </w:num>
  <w:num w:numId="8" w16cid:durableId="583925793">
    <w:abstractNumId w:val="1"/>
    <w:lvlOverride w:ilvl="0">
      <w:startOverride w:val="1"/>
    </w:lvlOverride>
  </w:num>
  <w:num w:numId="9" w16cid:durableId="834685723">
    <w:abstractNumId w:val="1"/>
    <w:lvlOverride w:ilvl="0">
      <w:startOverride w:val="1"/>
    </w:lvlOverride>
  </w:num>
  <w:num w:numId="10" w16cid:durableId="2002850332">
    <w:abstractNumId w:val="1"/>
    <w:lvlOverride w:ilvl="0">
      <w:startOverride w:val="1"/>
    </w:lvlOverride>
  </w:num>
  <w:num w:numId="11" w16cid:durableId="1672371389">
    <w:abstractNumId w:val="1"/>
    <w:lvlOverride w:ilvl="0">
      <w:startOverride w:val="1"/>
    </w:lvlOverride>
  </w:num>
  <w:num w:numId="12" w16cid:durableId="1176771592">
    <w:abstractNumId w:val="1"/>
    <w:lvlOverride w:ilvl="0">
      <w:startOverride w:val="1"/>
    </w:lvlOverride>
  </w:num>
  <w:num w:numId="13" w16cid:durableId="1858621310">
    <w:abstractNumId w:val="1"/>
    <w:lvlOverride w:ilvl="0">
      <w:startOverride w:val="1"/>
    </w:lvlOverride>
  </w:num>
  <w:num w:numId="14" w16cid:durableId="1877690158">
    <w:abstractNumId w:val="1"/>
    <w:lvlOverride w:ilvl="0">
      <w:startOverride w:val="1"/>
    </w:lvlOverride>
  </w:num>
  <w:num w:numId="15" w16cid:durableId="1539009257">
    <w:abstractNumId w:val="1"/>
    <w:lvlOverride w:ilvl="0">
      <w:startOverride w:val="1"/>
    </w:lvlOverride>
  </w:num>
  <w:num w:numId="16" w16cid:durableId="1743792105">
    <w:abstractNumId w:val="1"/>
    <w:lvlOverride w:ilvl="0">
      <w:startOverride w:val="1"/>
    </w:lvlOverride>
  </w:num>
  <w:num w:numId="17" w16cid:durableId="1790394240">
    <w:abstractNumId w:val="1"/>
    <w:lvlOverride w:ilvl="0">
      <w:startOverride w:val="1"/>
    </w:lvlOverride>
  </w:num>
  <w:num w:numId="18" w16cid:durableId="1296328427">
    <w:abstractNumId w:val="1"/>
    <w:lvlOverride w:ilvl="0">
      <w:startOverride w:val="1"/>
    </w:lvlOverride>
  </w:num>
  <w:num w:numId="19" w16cid:durableId="269046506">
    <w:abstractNumId w:val="7"/>
  </w:num>
  <w:num w:numId="20" w16cid:durableId="800613918">
    <w:abstractNumId w:val="1"/>
    <w:lvlOverride w:ilvl="0">
      <w:startOverride w:val="1"/>
    </w:lvlOverride>
  </w:num>
  <w:num w:numId="21" w16cid:durableId="1216888914">
    <w:abstractNumId w:val="1"/>
    <w:lvlOverride w:ilvl="0">
      <w:startOverride w:val="1"/>
    </w:lvlOverride>
  </w:num>
  <w:num w:numId="22" w16cid:durableId="1430809406">
    <w:abstractNumId w:val="1"/>
    <w:lvlOverride w:ilvl="0">
      <w:startOverride w:val="1"/>
    </w:lvlOverride>
  </w:num>
  <w:num w:numId="23" w16cid:durableId="1660033415">
    <w:abstractNumId w:val="1"/>
    <w:lvlOverride w:ilvl="0">
      <w:startOverride w:val="1"/>
    </w:lvlOverride>
  </w:num>
  <w:num w:numId="24" w16cid:durableId="53550184">
    <w:abstractNumId w:val="8"/>
  </w:num>
  <w:num w:numId="25" w16cid:durableId="1352220834">
    <w:abstractNumId w:val="1"/>
    <w:lvlOverride w:ilvl="0">
      <w:startOverride w:val="1"/>
    </w:lvlOverride>
  </w:num>
  <w:num w:numId="26" w16cid:durableId="99838773">
    <w:abstractNumId w:val="1"/>
    <w:lvlOverride w:ilvl="0">
      <w:startOverride w:val="1"/>
    </w:lvlOverride>
  </w:num>
  <w:num w:numId="27" w16cid:durableId="146410359">
    <w:abstractNumId w:val="1"/>
    <w:lvlOverride w:ilvl="0">
      <w:startOverride w:val="1"/>
    </w:lvlOverride>
  </w:num>
  <w:num w:numId="28" w16cid:durableId="2121146628">
    <w:abstractNumId w:val="1"/>
    <w:lvlOverride w:ilvl="0">
      <w:startOverride w:val="1"/>
    </w:lvlOverride>
  </w:num>
  <w:num w:numId="29" w16cid:durableId="1687636301">
    <w:abstractNumId w:val="1"/>
    <w:lvlOverride w:ilvl="0">
      <w:startOverride w:val="1"/>
    </w:lvlOverride>
  </w:num>
  <w:num w:numId="30" w16cid:durableId="2040888569">
    <w:abstractNumId w:val="1"/>
    <w:lvlOverride w:ilvl="0">
      <w:startOverride w:val="1"/>
    </w:lvlOverride>
  </w:num>
  <w:num w:numId="31" w16cid:durableId="1693530910">
    <w:abstractNumId w:val="1"/>
    <w:lvlOverride w:ilvl="0">
      <w:startOverride w:val="1"/>
    </w:lvlOverride>
  </w:num>
  <w:num w:numId="32" w16cid:durableId="1684360630">
    <w:abstractNumId w:val="1"/>
    <w:lvlOverride w:ilvl="0">
      <w:startOverride w:val="1"/>
    </w:lvlOverride>
  </w:num>
  <w:num w:numId="33" w16cid:durableId="1432162136">
    <w:abstractNumId w:val="1"/>
    <w:lvlOverride w:ilvl="0">
      <w:startOverride w:val="1"/>
    </w:lvlOverride>
  </w:num>
  <w:num w:numId="34" w16cid:durableId="1381517323">
    <w:abstractNumId w:val="1"/>
    <w:lvlOverride w:ilvl="0">
      <w:startOverride w:val="1"/>
    </w:lvlOverride>
  </w:num>
  <w:num w:numId="35" w16cid:durableId="2060786145">
    <w:abstractNumId w:val="1"/>
    <w:lvlOverride w:ilvl="0">
      <w:startOverride w:val="1"/>
    </w:lvlOverride>
  </w:num>
  <w:num w:numId="36" w16cid:durableId="852763761">
    <w:abstractNumId w:val="1"/>
    <w:lvlOverride w:ilvl="0">
      <w:startOverride w:val="1"/>
    </w:lvlOverride>
  </w:num>
  <w:num w:numId="37" w16cid:durableId="1969889925">
    <w:abstractNumId w:val="1"/>
    <w:lvlOverride w:ilvl="0">
      <w:startOverride w:val="1"/>
    </w:lvlOverride>
  </w:num>
  <w:num w:numId="38" w16cid:durableId="588782407">
    <w:abstractNumId w:val="1"/>
    <w:lvlOverride w:ilvl="0">
      <w:startOverride w:val="1"/>
    </w:lvlOverride>
  </w:num>
  <w:num w:numId="39" w16cid:durableId="216473594">
    <w:abstractNumId w:val="1"/>
    <w:lvlOverride w:ilvl="0">
      <w:startOverride w:val="1"/>
    </w:lvlOverride>
  </w:num>
  <w:num w:numId="40" w16cid:durableId="994800004">
    <w:abstractNumId w:val="1"/>
  </w:num>
  <w:num w:numId="41" w16cid:durableId="814614385">
    <w:abstractNumId w:val="1"/>
    <w:lvlOverride w:ilvl="0">
      <w:startOverride w:val="1"/>
    </w:lvlOverride>
  </w:num>
  <w:num w:numId="42" w16cid:durableId="1865098608">
    <w:abstractNumId w:val="0"/>
    <w:lvlOverride w:ilvl="0">
      <w:startOverride w:val="1"/>
    </w:lvlOverride>
  </w:num>
  <w:num w:numId="43" w16cid:durableId="2022854277">
    <w:abstractNumId w:val="1"/>
    <w:lvlOverride w:ilvl="0">
      <w:startOverride w:val="1"/>
    </w:lvlOverride>
  </w:num>
  <w:num w:numId="44" w16cid:durableId="579098928">
    <w:abstractNumId w:val="9"/>
  </w:num>
  <w:num w:numId="45" w16cid:durableId="1331638208">
    <w:abstractNumId w:val="1"/>
  </w:num>
  <w:num w:numId="46" w16cid:durableId="1926065983">
    <w:abstractNumId w:val="1"/>
    <w:lvlOverride w:ilvl="0">
      <w:startOverride w:val="1"/>
    </w:lvlOverride>
  </w:num>
  <w:num w:numId="47" w16cid:durableId="811216516">
    <w:abstractNumId w:val="0"/>
    <w:lvlOverride w:ilvl="0">
      <w:startOverride w:val="1"/>
    </w:lvlOverride>
  </w:num>
  <w:num w:numId="48" w16cid:durableId="2011331495">
    <w:abstractNumId w:val="1"/>
    <w:lvlOverride w:ilvl="0">
      <w:startOverride w:val="1"/>
    </w:lvlOverride>
  </w:num>
  <w:num w:numId="49" w16cid:durableId="3338697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1A"/>
    <w:rsid w:val="0000041A"/>
    <w:rsid w:val="000009D2"/>
    <w:rsid w:val="00000DDE"/>
    <w:rsid w:val="00001934"/>
    <w:rsid w:val="00001CA5"/>
    <w:rsid w:val="00001F1A"/>
    <w:rsid w:val="000021B6"/>
    <w:rsid w:val="000021B8"/>
    <w:rsid w:val="000025F9"/>
    <w:rsid w:val="00002AFE"/>
    <w:rsid w:val="00002CFA"/>
    <w:rsid w:val="00002D48"/>
    <w:rsid w:val="00004196"/>
    <w:rsid w:val="00004230"/>
    <w:rsid w:val="0000453C"/>
    <w:rsid w:val="00004B0D"/>
    <w:rsid w:val="00005645"/>
    <w:rsid w:val="00006015"/>
    <w:rsid w:val="00006133"/>
    <w:rsid w:val="00006450"/>
    <w:rsid w:val="0000678D"/>
    <w:rsid w:val="0000749B"/>
    <w:rsid w:val="000074ED"/>
    <w:rsid w:val="000076D3"/>
    <w:rsid w:val="000112CC"/>
    <w:rsid w:val="00012B78"/>
    <w:rsid w:val="000133AB"/>
    <w:rsid w:val="0001358F"/>
    <w:rsid w:val="00013DCF"/>
    <w:rsid w:val="000152BA"/>
    <w:rsid w:val="00015B6F"/>
    <w:rsid w:val="00015EB2"/>
    <w:rsid w:val="00016BC8"/>
    <w:rsid w:val="00016ECF"/>
    <w:rsid w:val="00017126"/>
    <w:rsid w:val="00017A43"/>
    <w:rsid w:val="00017B1A"/>
    <w:rsid w:val="00020076"/>
    <w:rsid w:val="00020167"/>
    <w:rsid w:val="00020225"/>
    <w:rsid w:val="00020310"/>
    <w:rsid w:val="00020A27"/>
    <w:rsid w:val="00021329"/>
    <w:rsid w:val="00021498"/>
    <w:rsid w:val="00021ADD"/>
    <w:rsid w:val="00021D00"/>
    <w:rsid w:val="00022038"/>
    <w:rsid w:val="00023BD8"/>
    <w:rsid w:val="00025876"/>
    <w:rsid w:val="0002666B"/>
    <w:rsid w:val="00026DB1"/>
    <w:rsid w:val="00027063"/>
    <w:rsid w:val="000278C5"/>
    <w:rsid w:val="00030107"/>
    <w:rsid w:val="000304D8"/>
    <w:rsid w:val="000309A5"/>
    <w:rsid w:val="00030AC8"/>
    <w:rsid w:val="00031925"/>
    <w:rsid w:val="00034737"/>
    <w:rsid w:val="0003495F"/>
    <w:rsid w:val="00034A41"/>
    <w:rsid w:val="00034F1A"/>
    <w:rsid w:val="00035132"/>
    <w:rsid w:val="000352B7"/>
    <w:rsid w:val="000356D8"/>
    <w:rsid w:val="000418DB"/>
    <w:rsid w:val="00042157"/>
    <w:rsid w:val="0004237D"/>
    <w:rsid w:val="00043886"/>
    <w:rsid w:val="00043939"/>
    <w:rsid w:val="00043BD8"/>
    <w:rsid w:val="00043E94"/>
    <w:rsid w:val="00044358"/>
    <w:rsid w:val="00044DC3"/>
    <w:rsid w:val="00045069"/>
    <w:rsid w:val="0004533C"/>
    <w:rsid w:val="00046705"/>
    <w:rsid w:val="00046C7D"/>
    <w:rsid w:val="00050078"/>
    <w:rsid w:val="0005032D"/>
    <w:rsid w:val="00050C57"/>
    <w:rsid w:val="000519D9"/>
    <w:rsid w:val="000519F3"/>
    <w:rsid w:val="000523ED"/>
    <w:rsid w:val="00053C46"/>
    <w:rsid w:val="00053CCA"/>
    <w:rsid w:val="00054282"/>
    <w:rsid w:val="00054ECC"/>
    <w:rsid w:val="00055CCF"/>
    <w:rsid w:val="00055F43"/>
    <w:rsid w:val="000562DA"/>
    <w:rsid w:val="000563BE"/>
    <w:rsid w:val="0005725B"/>
    <w:rsid w:val="0005778C"/>
    <w:rsid w:val="000578D7"/>
    <w:rsid w:val="00060249"/>
    <w:rsid w:val="00060322"/>
    <w:rsid w:val="00060BA8"/>
    <w:rsid w:val="00061314"/>
    <w:rsid w:val="00061A02"/>
    <w:rsid w:val="00061D3F"/>
    <w:rsid w:val="00062201"/>
    <w:rsid w:val="000625C3"/>
    <w:rsid w:val="000625F5"/>
    <w:rsid w:val="000631D8"/>
    <w:rsid w:val="0006396E"/>
    <w:rsid w:val="00064225"/>
    <w:rsid w:val="000643D1"/>
    <w:rsid w:val="00064724"/>
    <w:rsid w:val="00064B13"/>
    <w:rsid w:val="00066155"/>
    <w:rsid w:val="00066769"/>
    <w:rsid w:val="000671C9"/>
    <w:rsid w:val="00070683"/>
    <w:rsid w:val="000713A8"/>
    <w:rsid w:val="00072D8E"/>
    <w:rsid w:val="00073206"/>
    <w:rsid w:val="00073F76"/>
    <w:rsid w:val="00074008"/>
    <w:rsid w:val="00075E13"/>
    <w:rsid w:val="00075EC5"/>
    <w:rsid w:val="00077499"/>
    <w:rsid w:val="00080145"/>
    <w:rsid w:val="00080823"/>
    <w:rsid w:val="0008093D"/>
    <w:rsid w:val="00080CAF"/>
    <w:rsid w:val="00080D2C"/>
    <w:rsid w:val="000819F0"/>
    <w:rsid w:val="00081E22"/>
    <w:rsid w:val="00082A35"/>
    <w:rsid w:val="00082CBC"/>
    <w:rsid w:val="00084649"/>
    <w:rsid w:val="000848F6"/>
    <w:rsid w:val="000853D7"/>
    <w:rsid w:val="00085A78"/>
    <w:rsid w:val="00085C37"/>
    <w:rsid w:val="00086772"/>
    <w:rsid w:val="00086AFA"/>
    <w:rsid w:val="00086B09"/>
    <w:rsid w:val="000872B8"/>
    <w:rsid w:val="00087D30"/>
    <w:rsid w:val="0009075B"/>
    <w:rsid w:val="00090D50"/>
    <w:rsid w:val="000911E3"/>
    <w:rsid w:val="0009126A"/>
    <w:rsid w:val="00092157"/>
    <w:rsid w:val="00092317"/>
    <w:rsid w:val="00092AB9"/>
    <w:rsid w:val="00093D8E"/>
    <w:rsid w:val="00093F16"/>
    <w:rsid w:val="0009422C"/>
    <w:rsid w:val="00094BE6"/>
    <w:rsid w:val="00094E75"/>
    <w:rsid w:val="00095C50"/>
    <w:rsid w:val="00095D57"/>
    <w:rsid w:val="0009622B"/>
    <w:rsid w:val="000964BA"/>
    <w:rsid w:val="0009741B"/>
    <w:rsid w:val="000A0AAB"/>
    <w:rsid w:val="000A0D09"/>
    <w:rsid w:val="000A1429"/>
    <w:rsid w:val="000A1457"/>
    <w:rsid w:val="000A1763"/>
    <w:rsid w:val="000A1DAF"/>
    <w:rsid w:val="000A23A8"/>
    <w:rsid w:val="000A2A18"/>
    <w:rsid w:val="000A2F2D"/>
    <w:rsid w:val="000A323C"/>
    <w:rsid w:val="000A333C"/>
    <w:rsid w:val="000A3E74"/>
    <w:rsid w:val="000A4636"/>
    <w:rsid w:val="000A535C"/>
    <w:rsid w:val="000A53AC"/>
    <w:rsid w:val="000A5858"/>
    <w:rsid w:val="000A7F49"/>
    <w:rsid w:val="000B0B18"/>
    <w:rsid w:val="000B0F26"/>
    <w:rsid w:val="000B18F1"/>
    <w:rsid w:val="000B1914"/>
    <w:rsid w:val="000B2065"/>
    <w:rsid w:val="000B41AC"/>
    <w:rsid w:val="000B4940"/>
    <w:rsid w:val="000B5591"/>
    <w:rsid w:val="000B601C"/>
    <w:rsid w:val="000B64E3"/>
    <w:rsid w:val="000B65FB"/>
    <w:rsid w:val="000B7140"/>
    <w:rsid w:val="000B72B1"/>
    <w:rsid w:val="000B7702"/>
    <w:rsid w:val="000B797D"/>
    <w:rsid w:val="000B7A5D"/>
    <w:rsid w:val="000C0420"/>
    <w:rsid w:val="000C050A"/>
    <w:rsid w:val="000C2097"/>
    <w:rsid w:val="000C329A"/>
    <w:rsid w:val="000C3C23"/>
    <w:rsid w:val="000C3DFC"/>
    <w:rsid w:val="000C4C4E"/>
    <w:rsid w:val="000C4DFF"/>
    <w:rsid w:val="000C55C6"/>
    <w:rsid w:val="000C64CF"/>
    <w:rsid w:val="000C6770"/>
    <w:rsid w:val="000C6DE8"/>
    <w:rsid w:val="000C72BE"/>
    <w:rsid w:val="000C749B"/>
    <w:rsid w:val="000C7536"/>
    <w:rsid w:val="000C7E05"/>
    <w:rsid w:val="000D0CD3"/>
    <w:rsid w:val="000D0DA3"/>
    <w:rsid w:val="000D0EEB"/>
    <w:rsid w:val="000D0EED"/>
    <w:rsid w:val="000D1165"/>
    <w:rsid w:val="000D12A0"/>
    <w:rsid w:val="000D3158"/>
    <w:rsid w:val="000D36E0"/>
    <w:rsid w:val="000D3713"/>
    <w:rsid w:val="000D3D5B"/>
    <w:rsid w:val="000D40F4"/>
    <w:rsid w:val="000D42EE"/>
    <w:rsid w:val="000D5783"/>
    <w:rsid w:val="000D5A88"/>
    <w:rsid w:val="000D6B2E"/>
    <w:rsid w:val="000D7193"/>
    <w:rsid w:val="000E0B8C"/>
    <w:rsid w:val="000E1098"/>
    <w:rsid w:val="000E1359"/>
    <w:rsid w:val="000E163A"/>
    <w:rsid w:val="000E1EF4"/>
    <w:rsid w:val="000E24B1"/>
    <w:rsid w:val="000E3160"/>
    <w:rsid w:val="000E4071"/>
    <w:rsid w:val="000E48C1"/>
    <w:rsid w:val="000E5130"/>
    <w:rsid w:val="000E5C87"/>
    <w:rsid w:val="000E5D37"/>
    <w:rsid w:val="000E6555"/>
    <w:rsid w:val="000E6D15"/>
    <w:rsid w:val="000E6DE3"/>
    <w:rsid w:val="000E701C"/>
    <w:rsid w:val="000F0446"/>
    <w:rsid w:val="000F0A9F"/>
    <w:rsid w:val="000F190A"/>
    <w:rsid w:val="000F1A84"/>
    <w:rsid w:val="000F1EE6"/>
    <w:rsid w:val="000F2552"/>
    <w:rsid w:val="000F2F3F"/>
    <w:rsid w:val="000F308A"/>
    <w:rsid w:val="000F3631"/>
    <w:rsid w:val="000F414F"/>
    <w:rsid w:val="000F4F0E"/>
    <w:rsid w:val="000F6001"/>
    <w:rsid w:val="000F745A"/>
    <w:rsid w:val="000F7F29"/>
    <w:rsid w:val="00100D2B"/>
    <w:rsid w:val="00100F55"/>
    <w:rsid w:val="001012FF"/>
    <w:rsid w:val="00101963"/>
    <w:rsid w:val="00101A04"/>
    <w:rsid w:val="001028EE"/>
    <w:rsid w:val="00102BEF"/>
    <w:rsid w:val="0010402B"/>
    <w:rsid w:val="001041B9"/>
    <w:rsid w:val="001044E0"/>
    <w:rsid w:val="001048DC"/>
    <w:rsid w:val="00104C6C"/>
    <w:rsid w:val="00105BE1"/>
    <w:rsid w:val="00105F53"/>
    <w:rsid w:val="00105F6F"/>
    <w:rsid w:val="00106629"/>
    <w:rsid w:val="00106D78"/>
    <w:rsid w:val="00107316"/>
    <w:rsid w:val="0011004D"/>
    <w:rsid w:val="00110625"/>
    <w:rsid w:val="00111BC7"/>
    <w:rsid w:val="0011387A"/>
    <w:rsid w:val="00114601"/>
    <w:rsid w:val="00114616"/>
    <w:rsid w:val="0011478A"/>
    <w:rsid w:val="001206AC"/>
    <w:rsid w:val="00120ABA"/>
    <w:rsid w:val="00120E27"/>
    <w:rsid w:val="001210D8"/>
    <w:rsid w:val="00121384"/>
    <w:rsid w:val="00121EFC"/>
    <w:rsid w:val="001221DE"/>
    <w:rsid w:val="00125926"/>
    <w:rsid w:val="001273A7"/>
    <w:rsid w:val="00127756"/>
    <w:rsid w:val="001279BC"/>
    <w:rsid w:val="00127C0B"/>
    <w:rsid w:val="00130B37"/>
    <w:rsid w:val="001315F9"/>
    <w:rsid w:val="001316C5"/>
    <w:rsid w:val="001333E8"/>
    <w:rsid w:val="0013483A"/>
    <w:rsid w:val="00135AD4"/>
    <w:rsid w:val="001360ED"/>
    <w:rsid w:val="001362D1"/>
    <w:rsid w:val="001364CC"/>
    <w:rsid w:val="00136ACA"/>
    <w:rsid w:val="00136B53"/>
    <w:rsid w:val="001373E0"/>
    <w:rsid w:val="00137CFA"/>
    <w:rsid w:val="001402B4"/>
    <w:rsid w:val="001406B2"/>
    <w:rsid w:val="00140D9E"/>
    <w:rsid w:val="0014122E"/>
    <w:rsid w:val="0014173F"/>
    <w:rsid w:val="00141792"/>
    <w:rsid w:val="00141B8B"/>
    <w:rsid w:val="00141DEC"/>
    <w:rsid w:val="001432BC"/>
    <w:rsid w:val="001438E6"/>
    <w:rsid w:val="001443D5"/>
    <w:rsid w:val="001445B4"/>
    <w:rsid w:val="001452AD"/>
    <w:rsid w:val="00145A9B"/>
    <w:rsid w:val="0014632F"/>
    <w:rsid w:val="0014642F"/>
    <w:rsid w:val="001466BE"/>
    <w:rsid w:val="00146BCB"/>
    <w:rsid w:val="00146CE5"/>
    <w:rsid w:val="00146CF1"/>
    <w:rsid w:val="00146F08"/>
    <w:rsid w:val="001471A6"/>
    <w:rsid w:val="00147520"/>
    <w:rsid w:val="001475D6"/>
    <w:rsid w:val="00147B51"/>
    <w:rsid w:val="00147F2E"/>
    <w:rsid w:val="00151AD6"/>
    <w:rsid w:val="00152B14"/>
    <w:rsid w:val="00153615"/>
    <w:rsid w:val="00154050"/>
    <w:rsid w:val="0015440C"/>
    <w:rsid w:val="0015455C"/>
    <w:rsid w:val="00154AD8"/>
    <w:rsid w:val="00154C50"/>
    <w:rsid w:val="00154CC8"/>
    <w:rsid w:val="00155681"/>
    <w:rsid w:val="0015616A"/>
    <w:rsid w:val="001562A6"/>
    <w:rsid w:val="001571C2"/>
    <w:rsid w:val="00157498"/>
    <w:rsid w:val="00157AE4"/>
    <w:rsid w:val="00160186"/>
    <w:rsid w:val="00160761"/>
    <w:rsid w:val="00160B10"/>
    <w:rsid w:val="00161E21"/>
    <w:rsid w:val="00162BEA"/>
    <w:rsid w:val="00163ADB"/>
    <w:rsid w:val="0016501E"/>
    <w:rsid w:val="00166D47"/>
    <w:rsid w:val="0016735E"/>
    <w:rsid w:val="00167749"/>
    <w:rsid w:val="001678E0"/>
    <w:rsid w:val="0017001E"/>
    <w:rsid w:val="00170206"/>
    <w:rsid w:val="001703C6"/>
    <w:rsid w:val="00171318"/>
    <w:rsid w:val="00172630"/>
    <w:rsid w:val="0017266F"/>
    <w:rsid w:val="00172A9B"/>
    <w:rsid w:val="00173E40"/>
    <w:rsid w:val="00174254"/>
    <w:rsid w:val="00174565"/>
    <w:rsid w:val="00174FB3"/>
    <w:rsid w:val="00175300"/>
    <w:rsid w:val="001769F8"/>
    <w:rsid w:val="00177889"/>
    <w:rsid w:val="00177E51"/>
    <w:rsid w:val="0018003A"/>
    <w:rsid w:val="0018307F"/>
    <w:rsid w:val="00184790"/>
    <w:rsid w:val="001847A0"/>
    <w:rsid w:val="00184811"/>
    <w:rsid w:val="0018527C"/>
    <w:rsid w:val="00185A66"/>
    <w:rsid w:val="00185D09"/>
    <w:rsid w:val="00185E1F"/>
    <w:rsid w:val="00186C5B"/>
    <w:rsid w:val="00186C79"/>
    <w:rsid w:val="001906FE"/>
    <w:rsid w:val="001907C4"/>
    <w:rsid w:val="00190FC6"/>
    <w:rsid w:val="00191264"/>
    <w:rsid w:val="00192000"/>
    <w:rsid w:val="001931BC"/>
    <w:rsid w:val="00193BD9"/>
    <w:rsid w:val="00193E70"/>
    <w:rsid w:val="00193F56"/>
    <w:rsid w:val="0019400F"/>
    <w:rsid w:val="0019646F"/>
    <w:rsid w:val="001967E1"/>
    <w:rsid w:val="00196987"/>
    <w:rsid w:val="00196DBF"/>
    <w:rsid w:val="00197EE0"/>
    <w:rsid w:val="001A08B6"/>
    <w:rsid w:val="001A18AD"/>
    <w:rsid w:val="001A32F3"/>
    <w:rsid w:val="001A3846"/>
    <w:rsid w:val="001A3F67"/>
    <w:rsid w:val="001A4340"/>
    <w:rsid w:val="001A4364"/>
    <w:rsid w:val="001A55A2"/>
    <w:rsid w:val="001A6106"/>
    <w:rsid w:val="001A6418"/>
    <w:rsid w:val="001A6E19"/>
    <w:rsid w:val="001A6EDD"/>
    <w:rsid w:val="001A7E43"/>
    <w:rsid w:val="001A7FBA"/>
    <w:rsid w:val="001A7FE4"/>
    <w:rsid w:val="001B146E"/>
    <w:rsid w:val="001B18BA"/>
    <w:rsid w:val="001B1F93"/>
    <w:rsid w:val="001B2697"/>
    <w:rsid w:val="001B2EC8"/>
    <w:rsid w:val="001B2EFF"/>
    <w:rsid w:val="001B3A6F"/>
    <w:rsid w:val="001B3B6F"/>
    <w:rsid w:val="001B3CC4"/>
    <w:rsid w:val="001B4544"/>
    <w:rsid w:val="001B4AAA"/>
    <w:rsid w:val="001B4AE9"/>
    <w:rsid w:val="001B574B"/>
    <w:rsid w:val="001B6B33"/>
    <w:rsid w:val="001B7D18"/>
    <w:rsid w:val="001C003A"/>
    <w:rsid w:val="001C0C18"/>
    <w:rsid w:val="001C1D84"/>
    <w:rsid w:val="001C1EF5"/>
    <w:rsid w:val="001C1F31"/>
    <w:rsid w:val="001C2436"/>
    <w:rsid w:val="001C2F58"/>
    <w:rsid w:val="001C306D"/>
    <w:rsid w:val="001C3719"/>
    <w:rsid w:val="001C3E04"/>
    <w:rsid w:val="001C4AE0"/>
    <w:rsid w:val="001C4E11"/>
    <w:rsid w:val="001C55D0"/>
    <w:rsid w:val="001C6053"/>
    <w:rsid w:val="001C67B2"/>
    <w:rsid w:val="001C6A2D"/>
    <w:rsid w:val="001D088B"/>
    <w:rsid w:val="001D08BD"/>
    <w:rsid w:val="001D0DE9"/>
    <w:rsid w:val="001D0EC7"/>
    <w:rsid w:val="001D15DC"/>
    <w:rsid w:val="001D2B65"/>
    <w:rsid w:val="001D3E24"/>
    <w:rsid w:val="001D3F4E"/>
    <w:rsid w:val="001D4594"/>
    <w:rsid w:val="001D4A15"/>
    <w:rsid w:val="001D5027"/>
    <w:rsid w:val="001D562D"/>
    <w:rsid w:val="001D581A"/>
    <w:rsid w:val="001D6C3D"/>
    <w:rsid w:val="001D7958"/>
    <w:rsid w:val="001D7A3D"/>
    <w:rsid w:val="001D7C02"/>
    <w:rsid w:val="001E033B"/>
    <w:rsid w:val="001E0793"/>
    <w:rsid w:val="001E10BA"/>
    <w:rsid w:val="001E12BA"/>
    <w:rsid w:val="001E1DE5"/>
    <w:rsid w:val="001E2DC6"/>
    <w:rsid w:val="001E2EA8"/>
    <w:rsid w:val="001E391D"/>
    <w:rsid w:val="001E3CDC"/>
    <w:rsid w:val="001E3DA9"/>
    <w:rsid w:val="001E428E"/>
    <w:rsid w:val="001E4590"/>
    <w:rsid w:val="001E460C"/>
    <w:rsid w:val="001E4A3B"/>
    <w:rsid w:val="001E4A95"/>
    <w:rsid w:val="001E4D52"/>
    <w:rsid w:val="001E6605"/>
    <w:rsid w:val="001E6A74"/>
    <w:rsid w:val="001E6D19"/>
    <w:rsid w:val="001E7030"/>
    <w:rsid w:val="001E7477"/>
    <w:rsid w:val="001F32E9"/>
    <w:rsid w:val="001F4047"/>
    <w:rsid w:val="001F4076"/>
    <w:rsid w:val="001F46B3"/>
    <w:rsid w:val="001F551C"/>
    <w:rsid w:val="001F5587"/>
    <w:rsid w:val="001F58F2"/>
    <w:rsid w:val="001F5D43"/>
    <w:rsid w:val="001F602B"/>
    <w:rsid w:val="001F6141"/>
    <w:rsid w:val="001F790E"/>
    <w:rsid w:val="001F7C1D"/>
    <w:rsid w:val="001F7FE4"/>
    <w:rsid w:val="00200248"/>
    <w:rsid w:val="00200308"/>
    <w:rsid w:val="002003BB"/>
    <w:rsid w:val="002004D2"/>
    <w:rsid w:val="00200783"/>
    <w:rsid w:val="00200E23"/>
    <w:rsid w:val="00200FF6"/>
    <w:rsid w:val="002010D6"/>
    <w:rsid w:val="002018AE"/>
    <w:rsid w:val="00201901"/>
    <w:rsid w:val="00201D5B"/>
    <w:rsid w:val="00202802"/>
    <w:rsid w:val="00202F5E"/>
    <w:rsid w:val="00203263"/>
    <w:rsid w:val="002033ED"/>
    <w:rsid w:val="0020353D"/>
    <w:rsid w:val="002035AA"/>
    <w:rsid w:val="0020541D"/>
    <w:rsid w:val="0020726E"/>
    <w:rsid w:val="002076E0"/>
    <w:rsid w:val="00207785"/>
    <w:rsid w:val="00207FDF"/>
    <w:rsid w:val="002100A4"/>
    <w:rsid w:val="00210458"/>
    <w:rsid w:val="00211702"/>
    <w:rsid w:val="002117F5"/>
    <w:rsid w:val="002129A4"/>
    <w:rsid w:val="00212E2F"/>
    <w:rsid w:val="002134A0"/>
    <w:rsid w:val="002136B4"/>
    <w:rsid w:val="00213789"/>
    <w:rsid w:val="002137B9"/>
    <w:rsid w:val="002138E0"/>
    <w:rsid w:val="00213C6B"/>
    <w:rsid w:val="00213F05"/>
    <w:rsid w:val="002140C3"/>
    <w:rsid w:val="002141F9"/>
    <w:rsid w:val="0021481D"/>
    <w:rsid w:val="002153BD"/>
    <w:rsid w:val="002158FB"/>
    <w:rsid w:val="00215A49"/>
    <w:rsid w:val="00215C84"/>
    <w:rsid w:val="00215DE0"/>
    <w:rsid w:val="00216268"/>
    <w:rsid w:val="00216B2E"/>
    <w:rsid w:val="00216D1A"/>
    <w:rsid w:val="00216D67"/>
    <w:rsid w:val="0021736C"/>
    <w:rsid w:val="00220AE0"/>
    <w:rsid w:val="002218E2"/>
    <w:rsid w:val="00221C9A"/>
    <w:rsid w:val="0022279B"/>
    <w:rsid w:val="00222969"/>
    <w:rsid w:val="00224931"/>
    <w:rsid w:val="00224B14"/>
    <w:rsid w:val="002260A0"/>
    <w:rsid w:val="002265F4"/>
    <w:rsid w:val="002266A9"/>
    <w:rsid w:val="00226AE4"/>
    <w:rsid w:val="00227421"/>
    <w:rsid w:val="00227F39"/>
    <w:rsid w:val="0023154A"/>
    <w:rsid w:val="00231B80"/>
    <w:rsid w:val="00232E81"/>
    <w:rsid w:val="00233911"/>
    <w:rsid w:val="00234DBF"/>
    <w:rsid w:val="002355CE"/>
    <w:rsid w:val="00235D09"/>
    <w:rsid w:val="002362A0"/>
    <w:rsid w:val="00236317"/>
    <w:rsid w:val="002401E1"/>
    <w:rsid w:val="00240AE1"/>
    <w:rsid w:val="00240B90"/>
    <w:rsid w:val="0024120C"/>
    <w:rsid w:val="00242294"/>
    <w:rsid w:val="00242B85"/>
    <w:rsid w:val="00242C7C"/>
    <w:rsid w:val="00243337"/>
    <w:rsid w:val="00243742"/>
    <w:rsid w:val="0024486E"/>
    <w:rsid w:val="00244BFE"/>
    <w:rsid w:val="00245D64"/>
    <w:rsid w:val="00246592"/>
    <w:rsid w:val="0024662E"/>
    <w:rsid w:val="00247425"/>
    <w:rsid w:val="00247AFA"/>
    <w:rsid w:val="00247B6C"/>
    <w:rsid w:val="0025043B"/>
    <w:rsid w:val="00251236"/>
    <w:rsid w:val="00251781"/>
    <w:rsid w:val="002528F6"/>
    <w:rsid w:val="00252B99"/>
    <w:rsid w:val="00252B9A"/>
    <w:rsid w:val="0025461C"/>
    <w:rsid w:val="0025492A"/>
    <w:rsid w:val="00254EA1"/>
    <w:rsid w:val="00255454"/>
    <w:rsid w:val="00255CB0"/>
    <w:rsid w:val="00255F45"/>
    <w:rsid w:val="00262976"/>
    <w:rsid w:val="00263309"/>
    <w:rsid w:val="00263644"/>
    <w:rsid w:val="00263F6D"/>
    <w:rsid w:val="002652BE"/>
    <w:rsid w:val="00265EBC"/>
    <w:rsid w:val="00266627"/>
    <w:rsid w:val="002672DF"/>
    <w:rsid w:val="002677BC"/>
    <w:rsid w:val="002679C7"/>
    <w:rsid w:val="00267E17"/>
    <w:rsid w:val="002702DC"/>
    <w:rsid w:val="002728D5"/>
    <w:rsid w:val="00273842"/>
    <w:rsid w:val="00275991"/>
    <w:rsid w:val="00275FEC"/>
    <w:rsid w:val="00276C28"/>
    <w:rsid w:val="00276F3A"/>
    <w:rsid w:val="00277103"/>
    <w:rsid w:val="00277145"/>
    <w:rsid w:val="00277350"/>
    <w:rsid w:val="00277A5A"/>
    <w:rsid w:val="002810EB"/>
    <w:rsid w:val="00281470"/>
    <w:rsid w:val="002819ED"/>
    <w:rsid w:val="002819F0"/>
    <w:rsid w:val="0028262A"/>
    <w:rsid w:val="002837CC"/>
    <w:rsid w:val="00284B49"/>
    <w:rsid w:val="0028514B"/>
    <w:rsid w:val="00285F2A"/>
    <w:rsid w:val="0028631C"/>
    <w:rsid w:val="002863C5"/>
    <w:rsid w:val="002870C8"/>
    <w:rsid w:val="002879C6"/>
    <w:rsid w:val="00287EE5"/>
    <w:rsid w:val="002906F4"/>
    <w:rsid w:val="002913DD"/>
    <w:rsid w:val="00291C8A"/>
    <w:rsid w:val="00292DC8"/>
    <w:rsid w:val="00292DCB"/>
    <w:rsid w:val="00293396"/>
    <w:rsid w:val="00293C20"/>
    <w:rsid w:val="00295039"/>
    <w:rsid w:val="0029562E"/>
    <w:rsid w:val="00295AE0"/>
    <w:rsid w:val="00295CE9"/>
    <w:rsid w:val="00296A23"/>
    <w:rsid w:val="00296D4C"/>
    <w:rsid w:val="00297036"/>
    <w:rsid w:val="002978B9"/>
    <w:rsid w:val="002A0CA2"/>
    <w:rsid w:val="002A0F6C"/>
    <w:rsid w:val="002A126C"/>
    <w:rsid w:val="002A1300"/>
    <w:rsid w:val="002A1A4B"/>
    <w:rsid w:val="002A3058"/>
    <w:rsid w:val="002A3538"/>
    <w:rsid w:val="002A3594"/>
    <w:rsid w:val="002A3E7A"/>
    <w:rsid w:val="002A5B54"/>
    <w:rsid w:val="002A601D"/>
    <w:rsid w:val="002A614A"/>
    <w:rsid w:val="002A7232"/>
    <w:rsid w:val="002A7502"/>
    <w:rsid w:val="002A7D1A"/>
    <w:rsid w:val="002A7ED9"/>
    <w:rsid w:val="002B04DF"/>
    <w:rsid w:val="002B104B"/>
    <w:rsid w:val="002B141A"/>
    <w:rsid w:val="002B1604"/>
    <w:rsid w:val="002B16FE"/>
    <w:rsid w:val="002B1992"/>
    <w:rsid w:val="002B1B2D"/>
    <w:rsid w:val="002B1EB3"/>
    <w:rsid w:val="002B1F70"/>
    <w:rsid w:val="002B4526"/>
    <w:rsid w:val="002B53C0"/>
    <w:rsid w:val="002B7B08"/>
    <w:rsid w:val="002C0B42"/>
    <w:rsid w:val="002C0BFA"/>
    <w:rsid w:val="002C0FA6"/>
    <w:rsid w:val="002C32FE"/>
    <w:rsid w:val="002C5E50"/>
    <w:rsid w:val="002C5F8F"/>
    <w:rsid w:val="002C634D"/>
    <w:rsid w:val="002C6780"/>
    <w:rsid w:val="002D030C"/>
    <w:rsid w:val="002D064A"/>
    <w:rsid w:val="002D0E16"/>
    <w:rsid w:val="002D164A"/>
    <w:rsid w:val="002D178E"/>
    <w:rsid w:val="002D23F6"/>
    <w:rsid w:val="002D24A4"/>
    <w:rsid w:val="002D2613"/>
    <w:rsid w:val="002D28B0"/>
    <w:rsid w:val="002D2C91"/>
    <w:rsid w:val="002D39D7"/>
    <w:rsid w:val="002D3AF9"/>
    <w:rsid w:val="002D4117"/>
    <w:rsid w:val="002D41F9"/>
    <w:rsid w:val="002D4225"/>
    <w:rsid w:val="002D627C"/>
    <w:rsid w:val="002D69EE"/>
    <w:rsid w:val="002D6BDF"/>
    <w:rsid w:val="002D730C"/>
    <w:rsid w:val="002D758E"/>
    <w:rsid w:val="002D7B98"/>
    <w:rsid w:val="002E04BD"/>
    <w:rsid w:val="002E061C"/>
    <w:rsid w:val="002E1EC2"/>
    <w:rsid w:val="002E344F"/>
    <w:rsid w:val="002E4191"/>
    <w:rsid w:val="002E5DAE"/>
    <w:rsid w:val="002E65C3"/>
    <w:rsid w:val="002E6866"/>
    <w:rsid w:val="002E703B"/>
    <w:rsid w:val="002E7428"/>
    <w:rsid w:val="002F058F"/>
    <w:rsid w:val="002F0F4D"/>
    <w:rsid w:val="002F100F"/>
    <w:rsid w:val="002F1516"/>
    <w:rsid w:val="002F16CC"/>
    <w:rsid w:val="002F2020"/>
    <w:rsid w:val="002F28F5"/>
    <w:rsid w:val="002F3F8C"/>
    <w:rsid w:val="002F44B1"/>
    <w:rsid w:val="002F4A48"/>
    <w:rsid w:val="002F4E2D"/>
    <w:rsid w:val="002F5038"/>
    <w:rsid w:val="002F5312"/>
    <w:rsid w:val="002F554E"/>
    <w:rsid w:val="002F6C6E"/>
    <w:rsid w:val="002F7062"/>
    <w:rsid w:val="002F710C"/>
    <w:rsid w:val="002F7133"/>
    <w:rsid w:val="002F7396"/>
    <w:rsid w:val="002F7D82"/>
    <w:rsid w:val="0030003C"/>
    <w:rsid w:val="00300053"/>
    <w:rsid w:val="0030037B"/>
    <w:rsid w:val="003006CA"/>
    <w:rsid w:val="00300B55"/>
    <w:rsid w:val="00301331"/>
    <w:rsid w:val="00301D25"/>
    <w:rsid w:val="0030304F"/>
    <w:rsid w:val="0030353A"/>
    <w:rsid w:val="0030592E"/>
    <w:rsid w:val="00305A50"/>
    <w:rsid w:val="0031055F"/>
    <w:rsid w:val="00310A6F"/>
    <w:rsid w:val="0031184C"/>
    <w:rsid w:val="00311FED"/>
    <w:rsid w:val="003125B5"/>
    <w:rsid w:val="00312BE7"/>
    <w:rsid w:val="00312E80"/>
    <w:rsid w:val="00313388"/>
    <w:rsid w:val="003133BC"/>
    <w:rsid w:val="003144B9"/>
    <w:rsid w:val="0031466A"/>
    <w:rsid w:val="00314CF8"/>
    <w:rsid w:val="00316A8B"/>
    <w:rsid w:val="00316C49"/>
    <w:rsid w:val="0031791D"/>
    <w:rsid w:val="00317AFE"/>
    <w:rsid w:val="003201B0"/>
    <w:rsid w:val="00320F93"/>
    <w:rsid w:val="00321032"/>
    <w:rsid w:val="003212F8"/>
    <w:rsid w:val="00322254"/>
    <w:rsid w:val="0032232F"/>
    <w:rsid w:val="00322E66"/>
    <w:rsid w:val="00323298"/>
    <w:rsid w:val="003238F3"/>
    <w:rsid w:val="00323ABE"/>
    <w:rsid w:val="003245A2"/>
    <w:rsid w:val="00325177"/>
    <w:rsid w:val="00326CCB"/>
    <w:rsid w:val="003274A7"/>
    <w:rsid w:val="00327F89"/>
    <w:rsid w:val="00330CB8"/>
    <w:rsid w:val="00330EA4"/>
    <w:rsid w:val="00331880"/>
    <w:rsid w:val="00331BE2"/>
    <w:rsid w:val="0033201B"/>
    <w:rsid w:val="00332F1C"/>
    <w:rsid w:val="00332F26"/>
    <w:rsid w:val="00333400"/>
    <w:rsid w:val="0033438D"/>
    <w:rsid w:val="00335201"/>
    <w:rsid w:val="00336A56"/>
    <w:rsid w:val="00336EF5"/>
    <w:rsid w:val="0033704D"/>
    <w:rsid w:val="003402E9"/>
    <w:rsid w:val="003405BE"/>
    <w:rsid w:val="0034073E"/>
    <w:rsid w:val="003407C8"/>
    <w:rsid w:val="0034192B"/>
    <w:rsid w:val="00341DD1"/>
    <w:rsid w:val="003422CE"/>
    <w:rsid w:val="0034262A"/>
    <w:rsid w:val="0034282E"/>
    <w:rsid w:val="00342B87"/>
    <w:rsid w:val="00344294"/>
    <w:rsid w:val="00345210"/>
    <w:rsid w:val="0034528D"/>
    <w:rsid w:val="0034577D"/>
    <w:rsid w:val="00345B18"/>
    <w:rsid w:val="00345B25"/>
    <w:rsid w:val="00346810"/>
    <w:rsid w:val="003475D0"/>
    <w:rsid w:val="00347883"/>
    <w:rsid w:val="00347C12"/>
    <w:rsid w:val="00347E71"/>
    <w:rsid w:val="0035052A"/>
    <w:rsid w:val="0035071A"/>
    <w:rsid w:val="0035089D"/>
    <w:rsid w:val="00350CB5"/>
    <w:rsid w:val="003518E1"/>
    <w:rsid w:val="00351CB2"/>
    <w:rsid w:val="0035208D"/>
    <w:rsid w:val="00353BE3"/>
    <w:rsid w:val="003550F6"/>
    <w:rsid w:val="00355B68"/>
    <w:rsid w:val="0035601B"/>
    <w:rsid w:val="00356940"/>
    <w:rsid w:val="00356CDE"/>
    <w:rsid w:val="00357ADB"/>
    <w:rsid w:val="00357CA0"/>
    <w:rsid w:val="00360B7C"/>
    <w:rsid w:val="00360D08"/>
    <w:rsid w:val="00361284"/>
    <w:rsid w:val="0036143F"/>
    <w:rsid w:val="0036202E"/>
    <w:rsid w:val="00363387"/>
    <w:rsid w:val="00363F1D"/>
    <w:rsid w:val="0036409D"/>
    <w:rsid w:val="003640E8"/>
    <w:rsid w:val="00364643"/>
    <w:rsid w:val="003658C9"/>
    <w:rsid w:val="00365E2A"/>
    <w:rsid w:val="003663BC"/>
    <w:rsid w:val="0036739F"/>
    <w:rsid w:val="003673B4"/>
    <w:rsid w:val="0036759C"/>
    <w:rsid w:val="00367C3B"/>
    <w:rsid w:val="00370854"/>
    <w:rsid w:val="003718A3"/>
    <w:rsid w:val="00371E6E"/>
    <w:rsid w:val="00372A99"/>
    <w:rsid w:val="00372B94"/>
    <w:rsid w:val="00372BE9"/>
    <w:rsid w:val="00372DEC"/>
    <w:rsid w:val="0037377B"/>
    <w:rsid w:val="0037413A"/>
    <w:rsid w:val="00374445"/>
    <w:rsid w:val="003744C4"/>
    <w:rsid w:val="003748DB"/>
    <w:rsid w:val="003754D2"/>
    <w:rsid w:val="0037568A"/>
    <w:rsid w:val="00376198"/>
    <w:rsid w:val="00377799"/>
    <w:rsid w:val="0038089E"/>
    <w:rsid w:val="00380913"/>
    <w:rsid w:val="00380EF6"/>
    <w:rsid w:val="00383A63"/>
    <w:rsid w:val="00384905"/>
    <w:rsid w:val="00384B12"/>
    <w:rsid w:val="00384C50"/>
    <w:rsid w:val="00385017"/>
    <w:rsid w:val="0038518D"/>
    <w:rsid w:val="0038635A"/>
    <w:rsid w:val="00386B6D"/>
    <w:rsid w:val="0038724C"/>
    <w:rsid w:val="00387A00"/>
    <w:rsid w:val="003904D7"/>
    <w:rsid w:val="00390522"/>
    <w:rsid w:val="003905BC"/>
    <w:rsid w:val="00391405"/>
    <w:rsid w:val="00391718"/>
    <w:rsid w:val="0039197F"/>
    <w:rsid w:val="00391D38"/>
    <w:rsid w:val="003920AA"/>
    <w:rsid w:val="0039271F"/>
    <w:rsid w:val="0039364B"/>
    <w:rsid w:val="00393789"/>
    <w:rsid w:val="00393A1C"/>
    <w:rsid w:val="00393E65"/>
    <w:rsid w:val="00394405"/>
    <w:rsid w:val="00394BFF"/>
    <w:rsid w:val="00395603"/>
    <w:rsid w:val="003957BE"/>
    <w:rsid w:val="00395D8D"/>
    <w:rsid w:val="0039676A"/>
    <w:rsid w:val="00396AF0"/>
    <w:rsid w:val="003A074B"/>
    <w:rsid w:val="003A1173"/>
    <w:rsid w:val="003A13D4"/>
    <w:rsid w:val="003A18FB"/>
    <w:rsid w:val="003A1D4B"/>
    <w:rsid w:val="003A249A"/>
    <w:rsid w:val="003A44F6"/>
    <w:rsid w:val="003A461A"/>
    <w:rsid w:val="003A46E7"/>
    <w:rsid w:val="003A4814"/>
    <w:rsid w:val="003A5C90"/>
    <w:rsid w:val="003A6569"/>
    <w:rsid w:val="003A6A61"/>
    <w:rsid w:val="003A7B7A"/>
    <w:rsid w:val="003B1447"/>
    <w:rsid w:val="003B19E2"/>
    <w:rsid w:val="003B24DD"/>
    <w:rsid w:val="003B2B42"/>
    <w:rsid w:val="003B3043"/>
    <w:rsid w:val="003B3266"/>
    <w:rsid w:val="003B3C69"/>
    <w:rsid w:val="003B4790"/>
    <w:rsid w:val="003B5023"/>
    <w:rsid w:val="003B5052"/>
    <w:rsid w:val="003B58E6"/>
    <w:rsid w:val="003B675A"/>
    <w:rsid w:val="003B6C02"/>
    <w:rsid w:val="003B6F43"/>
    <w:rsid w:val="003B6F92"/>
    <w:rsid w:val="003B74FE"/>
    <w:rsid w:val="003B753D"/>
    <w:rsid w:val="003B7EB9"/>
    <w:rsid w:val="003C09AD"/>
    <w:rsid w:val="003C0A3E"/>
    <w:rsid w:val="003C1183"/>
    <w:rsid w:val="003C1316"/>
    <w:rsid w:val="003C1506"/>
    <w:rsid w:val="003C2676"/>
    <w:rsid w:val="003C2E59"/>
    <w:rsid w:val="003C3746"/>
    <w:rsid w:val="003C3944"/>
    <w:rsid w:val="003C3D6E"/>
    <w:rsid w:val="003C40A0"/>
    <w:rsid w:val="003C4A27"/>
    <w:rsid w:val="003C4C1E"/>
    <w:rsid w:val="003C5216"/>
    <w:rsid w:val="003C58AB"/>
    <w:rsid w:val="003C5A8C"/>
    <w:rsid w:val="003C658B"/>
    <w:rsid w:val="003C70C4"/>
    <w:rsid w:val="003C7267"/>
    <w:rsid w:val="003C746F"/>
    <w:rsid w:val="003C74E6"/>
    <w:rsid w:val="003D097C"/>
    <w:rsid w:val="003D23A5"/>
    <w:rsid w:val="003D26BC"/>
    <w:rsid w:val="003D3E75"/>
    <w:rsid w:val="003D4321"/>
    <w:rsid w:val="003D450D"/>
    <w:rsid w:val="003D4BC7"/>
    <w:rsid w:val="003D5ED0"/>
    <w:rsid w:val="003D5EFD"/>
    <w:rsid w:val="003D62E3"/>
    <w:rsid w:val="003D6A77"/>
    <w:rsid w:val="003D6EF3"/>
    <w:rsid w:val="003D6F3E"/>
    <w:rsid w:val="003D745F"/>
    <w:rsid w:val="003D7965"/>
    <w:rsid w:val="003E03C1"/>
    <w:rsid w:val="003E0B9E"/>
    <w:rsid w:val="003E10CB"/>
    <w:rsid w:val="003E1753"/>
    <w:rsid w:val="003E1B6D"/>
    <w:rsid w:val="003E200A"/>
    <w:rsid w:val="003E31D9"/>
    <w:rsid w:val="003E3547"/>
    <w:rsid w:val="003E381D"/>
    <w:rsid w:val="003E3E30"/>
    <w:rsid w:val="003E4407"/>
    <w:rsid w:val="003E4CE1"/>
    <w:rsid w:val="003E50D4"/>
    <w:rsid w:val="003E564C"/>
    <w:rsid w:val="003E5AFF"/>
    <w:rsid w:val="003E5E72"/>
    <w:rsid w:val="003E60B5"/>
    <w:rsid w:val="003E6966"/>
    <w:rsid w:val="003E6BB9"/>
    <w:rsid w:val="003E6C0E"/>
    <w:rsid w:val="003E748E"/>
    <w:rsid w:val="003E7BE3"/>
    <w:rsid w:val="003E7EF0"/>
    <w:rsid w:val="003F01BC"/>
    <w:rsid w:val="003F028B"/>
    <w:rsid w:val="003F198B"/>
    <w:rsid w:val="003F1C42"/>
    <w:rsid w:val="003F1CAB"/>
    <w:rsid w:val="003F27BC"/>
    <w:rsid w:val="003F4048"/>
    <w:rsid w:val="003F4354"/>
    <w:rsid w:val="003F4498"/>
    <w:rsid w:val="003F4813"/>
    <w:rsid w:val="003F4D1A"/>
    <w:rsid w:val="003F51ED"/>
    <w:rsid w:val="003F5755"/>
    <w:rsid w:val="003F5825"/>
    <w:rsid w:val="003F60A0"/>
    <w:rsid w:val="003F6187"/>
    <w:rsid w:val="003F644C"/>
    <w:rsid w:val="003F713E"/>
    <w:rsid w:val="003F7EB0"/>
    <w:rsid w:val="004006B9"/>
    <w:rsid w:val="00400D2E"/>
    <w:rsid w:val="00400DDF"/>
    <w:rsid w:val="004035FB"/>
    <w:rsid w:val="0040441A"/>
    <w:rsid w:val="004048B1"/>
    <w:rsid w:val="00406908"/>
    <w:rsid w:val="004073D9"/>
    <w:rsid w:val="00407AAD"/>
    <w:rsid w:val="00410327"/>
    <w:rsid w:val="004108DE"/>
    <w:rsid w:val="00410F0B"/>
    <w:rsid w:val="00410F5C"/>
    <w:rsid w:val="00411110"/>
    <w:rsid w:val="00411F3F"/>
    <w:rsid w:val="0041285C"/>
    <w:rsid w:val="00412DD2"/>
    <w:rsid w:val="004131DA"/>
    <w:rsid w:val="00413439"/>
    <w:rsid w:val="00413BE0"/>
    <w:rsid w:val="004141A6"/>
    <w:rsid w:val="0041436E"/>
    <w:rsid w:val="0041461B"/>
    <w:rsid w:val="004153E4"/>
    <w:rsid w:val="004156CF"/>
    <w:rsid w:val="00415DED"/>
    <w:rsid w:val="004178C4"/>
    <w:rsid w:val="0042013C"/>
    <w:rsid w:val="00420450"/>
    <w:rsid w:val="00423027"/>
    <w:rsid w:val="00423543"/>
    <w:rsid w:val="0042437F"/>
    <w:rsid w:val="00424951"/>
    <w:rsid w:val="00425384"/>
    <w:rsid w:val="0042556B"/>
    <w:rsid w:val="00427056"/>
    <w:rsid w:val="00427174"/>
    <w:rsid w:val="0043009C"/>
    <w:rsid w:val="004302A7"/>
    <w:rsid w:val="00430711"/>
    <w:rsid w:val="0043134E"/>
    <w:rsid w:val="004319DC"/>
    <w:rsid w:val="00432456"/>
    <w:rsid w:val="004325E2"/>
    <w:rsid w:val="00432D00"/>
    <w:rsid w:val="004338BF"/>
    <w:rsid w:val="0043398F"/>
    <w:rsid w:val="00436E91"/>
    <w:rsid w:val="004375D7"/>
    <w:rsid w:val="00437774"/>
    <w:rsid w:val="00437C23"/>
    <w:rsid w:val="00437D98"/>
    <w:rsid w:val="00437DD9"/>
    <w:rsid w:val="004406F9"/>
    <w:rsid w:val="00440F2D"/>
    <w:rsid w:val="004424B7"/>
    <w:rsid w:val="004433CD"/>
    <w:rsid w:val="004443E7"/>
    <w:rsid w:val="00444A75"/>
    <w:rsid w:val="00444C2D"/>
    <w:rsid w:val="00444EF4"/>
    <w:rsid w:val="00444FE6"/>
    <w:rsid w:val="00447103"/>
    <w:rsid w:val="004474B6"/>
    <w:rsid w:val="004476E3"/>
    <w:rsid w:val="00447A45"/>
    <w:rsid w:val="00447B40"/>
    <w:rsid w:val="00447BE5"/>
    <w:rsid w:val="0045021C"/>
    <w:rsid w:val="0045022E"/>
    <w:rsid w:val="00450B20"/>
    <w:rsid w:val="00451576"/>
    <w:rsid w:val="00451D4D"/>
    <w:rsid w:val="00452030"/>
    <w:rsid w:val="00453A5F"/>
    <w:rsid w:val="00453D10"/>
    <w:rsid w:val="0045425A"/>
    <w:rsid w:val="00456109"/>
    <w:rsid w:val="004573BC"/>
    <w:rsid w:val="00457E70"/>
    <w:rsid w:val="00457F70"/>
    <w:rsid w:val="00460794"/>
    <w:rsid w:val="00460B12"/>
    <w:rsid w:val="00461AA3"/>
    <w:rsid w:val="00461DC9"/>
    <w:rsid w:val="00462ABE"/>
    <w:rsid w:val="004635B5"/>
    <w:rsid w:val="00463F3F"/>
    <w:rsid w:val="00464163"/>
    <w:rsid w:val="00464B2B"/>
    <w:rsid w:val="0046558A"/>
    <w:rsid w:val="00465FC9"/>
    <w:rsid w:val="00466008"/>
    <w:rsid w:val="004661CB"/>
    <w:rsid w:val="00467B94"/>
    <w:rsid w:val="004704DE"/>
    <w:rsid w:val="00470AB3"/>
    <w:rsid w:val="00470AEE"/>
    <w:rsid w:val="004714DF"/>
    <w:rsid w:val="00471DEA"/>
    <w:rsid w:val="0047207A"/>
    <w:rsid w:val="00472293"/>
    <w:rsid w:val="00472849"/>
    <w:rsid w:val="00473018"/>
    <w:rsid w:val="004730AC"/>
    <w:rsid w:val="0047484C"/>
    <w:rsid w:val="00475420"/>
    <w:rsid w:val="004772A8"/>
    <w:rsid w:val="004778B1"/>
    <w:rsid w:val="00477947"/>
    <w:rsid w:val="00477EB5"/>
    <w:rsid w:val="004812BD"/>
    <w:rsid w:val="00482732"/>
    <w:rsid w:val="0048286B"/>
    <w:rsid w:val="00484361"/>
    <w:rsid w:val="00484492"/>
    <w:rsid w:val="004847F1"/>
    <w:rsid w:val="004849FA"/>
    <w:rsid w:val="00484E61"/>
    <w:rsid w:val="00484F6D"/>
    <w:rsid w:val="00485248"/>
    <w:rsid w:val="00485684"/>
    <w:rsid w:val="0048654C"/>
    <w:rsid w:val="004869C7"/>
    <w:rsid w:val="00486C4F"/>
    <w:rsid w:val="00486DAB"/>
    <w:rsid w:val="004875A2"/>
    <w:rsid w:val="00487895"/>
    <w:rsid w:val="00487A2A"/>
    <w:rsid w:val="00490CB8"/>
    <w:rsid w:val="004910E0"/>
    <w:rsid w:val="00491CAF"/>
    <w:rsid w:val="0049268C"/>
    <w:rsid w:val="00492A3B"/>
    <w:rsid w:val="00492E41"/>
    <w:rsid w:val="00493417"/>
    <w:rsid w:val="00493732"/>
    <w:rsid w:val="004939DD"/>
    <w:rsid w:val="00495591"/>
    <w:rsid w:val="00497E94"/>
    <w:rsid w:val="00497FE8"/>
    <w:rsid w:val="004A031B"/>
    <w:rsid w:val="004A04FD"/>
    <w:rsid w:val="004A06E8"/>
    <w:rsid w:val="004A0A3F"/>
    <w:rsid w:val="004A12AD"/>
    <w:rsid w:val="004A1414"/>
    <w:rsid w:val="004A1A23"/>
    <w:rsid w:val="004A2174"/>
    <w:rsid w:val="004A2661"/>
    <w:rsid w:val="004A2985"/>
    <w:rsid w:val="004A2F11"/>
    <w:rsid w:val="004A32A2"/>
    <w:rsid w:val="004A3A20"/>
    <w:rsid w:val="004A3E28"/>
    <w:rsid w:val="004A3E36"/>
    <w:rsid w:val="004A4A8F"/>
    <w:rsid w:val="004A4C3D"/>
    <w:rsid w:val="004A54C9"/>
    <w:rsid w:val="004A6617"/>
    <w:rsid w:val="004A7618"/>
    <w:rsid w:val="004B18E9"/>
    <w:rsid w:val="004B2065"/>
    <w:rsid w:val="004B2174"/>
    <w:rsid w:val="004B2981"/>
    <w:rsid w:val="004B2B8C"/>
    <w:rsid w:val="004B37A2"/>
    <w:rsid w:val="004B37D9"/>
    <w:rsid w:val="004B3DDC"/>
    <w:rsid w:val="004B42D8"/>
    <w:rsid w:val="004B4680"/>
    <w:rsid w:val="004B46A1"/>
    <w:rsid w:val="004B58F5"/>
    <w:rsid w:val="004B5F79"/>
    <w:rsid w:val="004B65DA"/>
    <w:rsid w:val="004B65E6"/>
    <w:rsid w:val="004B7331"/>
    <w:rsid w:val="004B7FEB"/>
    <w:rsid w:val="004C06EE"/>
    <w:rsid w:val="004C0A00"/>
    <w:rsid w:val="004C1042"/>
    <w:rsid w:val="004C1045"/>
    <w:rsid w:val="004C18CC"/>
    <w:rsid w:val="004C24C4"/>
    <w:rsid w:val="004C264D"/>
    <w:rsid w:val="004C3CD8"/>
    <w:rsid w:val="004C43C0"/>
    <w:rsid w:val="004C5740"/>
    <w:rsid w:val="004C5A25"/>
    <w:rsid w:val="004C65EE"/>
    <w:rsid w:val="004C7014"/>
    <w:rsid w:val="004C777D"/>
    <w:rsid w:val="004C779C"/>
    <w:rsid w:val="004C78F5"/>
    <w:rsid w:val="004D1E50"/>
    <w:rsid w:val="004D2B05"/>
    <w:rsid w:val="004D346B"/>
    <w:rsid w:val="004D403B"/>
    <w:rsid w:val="004D4E2E"/>
    <w:rsid w:val="004D54EA"/>
    <w:rsid w:val="004D5D98"/>
    <w:rsid w:val="004D638F"/>
    <w:rsid w:val="004D6773"/>
    <w:rsid w:val="004D6834"/>
    <w:rsid w:val="004D6A99"/>
    <w:rsid w:val="004D7855"/>
    <w:rsid w:val="004E0BAF"/>
    <w:rsid w:val="004E0C6A"/>
    <w:rsid w:val="004E155E"/>
    <w:rsid w:val="004E187D"/>
    <w:rsid w:val="004E1917"/>
    <w:rsid w:val="004E1D4C"/>
    <w:rsid w:val="004E29CD"/>
    <w:rsid w:val="004E390D"/>
    <w:rsid w:val="004E3ED2"/>
    <w:rsid w:val="004E4388"/>
    <w:rsid w:val="004E4C14"/>
    <w:rsid w:val="004E52DF"/>
    <w:rsid w:val="004E5A61"/>
    <w:rsid w:val="004E6553"/>
    <w:rsid w:val="004E6F38"/>
    <w:rsid w:val="004E7B54"/>
    <w:rsid w:val="004F013D"/>
    <w:rsid w:val="004F0449"/>
    <w:rsid w:val="004F13E7"/>
    <w:rsid w:val="004F15EA"/>
    <w:rsid w:val="004F1708"/>
    <w:rsid w:val="004F1B9E"/>
    <w:rsid w:val="004F1E64"/>
    <w:rsid w:val="004F23F8"/>
    <w:rsid w:val="004F29D9"/>
    <w:rsid w:val="004F3EC6"/>
    <w:rsid w:val="004F5164"/>
    <w:rsid w:val="004F5BC7"/>
    <w:rsid w:val="004F64F7"/>
    <w:rsid w:val="004F78EC"/>
    <w:rsid w:val="005006BF"/>
    <w:rsid w:val="0050081E"/>
    <w:rsid w:val="0050095C"/>
    <w:rsid w:val="00501185"/>
    <w:rsid w:val="0050304C"/>
    <w:rsid w:val="00503E25"/>
    <w:rsid w:val="005048C7"/>
    <w:rsid w:val="00504B70"/>
    <w:rsid w:val="00504F04"/>
    <w:rsid w:val="0050560A"/>
    <w:rsid w:val="0050593E"/>
    <w:rsid w:val="00506CD7"/>
    <w:rsid w:val="00506D8F"/>
    <w:rsid w:val="0050721E"/>
    <w:rsid w:val="00507BA9"/>
    <w:rsid w:val="00510AC5"/>
    <w:rsid w:val="00511B01"/>
    <w:rsid w:val="005129EA"/>
    <w:rsid w:val="00513453"/>
    <w:rsid w:val="005139E8"/>
    <w:rsid w:val="00513ADE"/>
    <w:rsid w:val="005140EE"/>
    <w:rsid w:val="00515FDD"/>
    <w:rsid w:val="00516792"/>
    <w:rsid w:val="005176BC"/>
    <w:rsid w:val="00520968"/>
    <w:rsid w:val="005216F3"/>
    <w:rsid w:val="00521AE9"/>
    <w:rsid w:val="005227F3"/>
    <w:rsid w:val="00522CF2"/>
    <w:rsid w:val="00522D7A"/>
    <w:rsid w:val="00523826"/>
    <w:rsid w:val="0052443C"/>
    <w:rsid w:val="00524B76"/>
    <w:rsid w:val="005250C5"/>
    <w:rsid w:val="005268CA"/>
    <w:rsid w:val="00526984"/>
    <w:rsid w:val="00527836"/>
    <w:rsid w:val="0052797B"/>
    <w:rsid w:val="00527BA5"/>
    <w:rsid w:val="00530242"/>
    <w:rsid w:val="00530C0D"/>
    <w:rsid w:val="0053100C"/>
    <w:rsid w:val="005328E7"/>
    <w:rsid w:val="00532F22"/>
    <w:rsid w:val="00533176"/>
    <w:rsid w:val="00534ABF"/>
    <w:rsid w:val="00535AF1"/>
    <w:rsid w:val="005363C6"/>
    <w:rsid w:val="005372DC"/>
    <w:rsid w:val="00537538"/>
    <w:rsid w:val="00537D9A"/>
    <w:rsid w:val="00540320"/>
    <w:rsid w:val="00540397"/>
    <w:rsid w:val="0054063D"/>
    <w:rsid w:val="00540CD8"/>
    <w:rsid w:val="0054148A"/>
    <w:rsid w:val="00541496"/>
    <w:rsid w:val="00541BD8"/>
    <w:rsid w:val="005432A6"/>
    <w:rsid w:val="00543787"/>
    <w:rsid w:val="00543867"/>
    <w:rsid w:val="00543978"/>
    <w:rsid w:val="00544C71"/>
    <w:rsid w:val="00544F50"/>
    <w:rsid w:val="005451D0"/>
    <w:rsid w:val="005453EB"/>
    <w:rsid w:val="00546A82"/>
    <w:rsid w:val="00546B0A"/>
    <w:rsid w:val="005470B1"/>
    <w:rsid w:val="00547F34"/>
    <w:rsid w:val="00550058"/>
    <w:rsid w:val="0055012A"/>
    <w:rsid w:val="005506A4"/>
    <w:rsid w:val="00550BAC"/>
    <w:rsid w:val="00551794"/>
    <w:rsid w:val="005531A9"/>
    <w:rsid w:val="00553E86"/>
    <w:rsid w:val="005540D1"/>
    <w:rsid w:val="005549BE"/>
    <w:rsid w:val="005558B7"/>
    <w:rsid w:val="00555EAE"/>
    <w:rsid w:val="00555EAF"/>
    <w:rsid w:val="00556577"/>
    <w:rsid w:val="005568DA"/>
    <w:rsid w:val="00556CED"/>
    <w:rsid w:val="00556F75"/>
    <w:rsid w:val="005573E0"/>
    <w:rsid w:val="00560229"/>
    <w:rsid w:val="00560CD8"/>
    <w:rsid w:val="005613C8"/>
    <w:rsid w:val="00561E0E"/>
    <w:rsid w:val="00561EBF"/>
    <w:rsid w:val="00562073"/>
    <w:rsid w:val="0056222B"/>
    <w:rsid w:val="005629CB"/>
    <w:rsid w:val="0056334B"/>
    <w:rsid w:val="00564317"/>
    <w:rsid w:val="005651EE"/>
    <w:rsid w:val="0056540B"/>
    <w:rsid w:val="0056588B"/>
    <w:rsid w:val="0056598A"/>
    <w:rsid w:val="0056638B"/>
    <w:rsid w:val="00566A57"/>
    <w:rsid w:val="00566BAE"/>
    <w:rsid w:val="00567825"/>
    <w:rsid w:val="00567E2A"/>
    <w:rsid w:val="005705D9"/>
    <w:rsid w:val="005705FA"/>
    <w:rsid w:val="00570BEF"/>
    <w:rsid w:val="00570FE4"/>
    <w:rsid w:val="005714AE"/>
    <w:rsid w:val="00571547"/>
    <w:rsid w:val="0057261C"/>
    <w:rsid w:val="00572C1B"/>
    <w:rsid w:val="00574280"/>
    <w:rsid w:val="00574B2D"/>
    <w:rsid w:val="00574D9C"/>
    <w:rsid w:val="0057514C"/>
    <w:rsid w:val="00575A11"/>
    <w:rsid w:val="00575BA8"/>
    <w:rsid w:val="005760FD"/>
    <w:rsid w:val="005770E8"/>
    <w:rsid w:val="005802C4"/>
    <w:rsid w:val="00580497"/>
    <w:rsid w:val="005806B8"/>
    <w:rsid w:val="005809A5"/>
    <w:rsid w:val="00580E5B"/>
    <w:rsid w:val="0058164E"/>
    <w:rsid w:val="00581A6C"/>
    <w:rsid w:val="00581EF1"/>
    <w:rsid w:val="00582322"/>
    <w:rsid w:val="005823F1"/>
    <w:rsid w:val="005823F7"/>
    <w:rsid w:val="00582D65"/>
    <w:rsid w:val="00583F8E"/>
    <w:rsid w:val="0058455B"/>
    <w:rsid w:val="005845E3"/>
    <w:rsid w:val="00584F61"/>
    <w:rsid w:val="00584F78"/>
    <w:rsid w:val="00585268"/>
    <w:rsid w:val="00585862"/>
    <w:rsid w:val="0058592A"/>
    <w:rsid w:val="0058595C"/>
    <w:rsid w:val="00586142"/>
    <w:rsid w:val="0058632D"/>
    <w:rsid w:val="0058668F"/>
    <w:rsid w:val="00586E55"/>
    <w:rsid w:val="00587E21"/>
    <w:rsid w:val="0059003E"/>
    <w:rsid w:val="00590122"/>
    <w:rsid w:val="0059235B"/>
    <w:rsid w:val="00592448"/>
    <w:rsid w:val="0059248C"/>
    <w:rsid w:val="00593A9F"/>
    <w:rsid w:val="00593AC8"/>
    <w:rsid w:val="00594213"/>
    <w:rsid w:val="00594B8D"/>
    <w:rsid w:val="00594E2D"/>
    <w:rsid w:val="005957D1"/>
    <w:rsid w:val="0059614E"/>
    <w:rsid w:val="00596333"/>
    <w:rsid w:val="00596D6C"/>
    <w:rsid w:val="0059721B"/>
    <w:rsid w:val="005977D1"/>
    <w:rsid w:val="00597994"/>
    <w:rsid w:val="00597F81"/>
    <w:rsid w:val="005A0049"/>
    <w:rsid w:val="005A0576"/>
    <w:rsid w:val="005A0953"/>
    <w:rsid w:val="005A1174"/>
    <w:rsid w:val="005A1261"/>
    <w:rsid w:val="005A18EC"/>
    <w:rsid w:val="005A2700"/>
    <w:rsid w:val="005A2D40"/>
    <w:rsid w:val="005A2D8B"/>
    <w:rsid w:val="005A2FEE"/>
    <w:rsid w:val="005A3383"/>
    <w:rsid w:val="005A40F5"/>
    <w:rsid w:val="005A534D"/>
    <w:rsid w:val="005A56E3"/>
    <w:rsid w:val="005A6089"/>
    <w:rsid w:val="005A6571"/>
    <w:rsid w:val="005A7235"/>
    <w:rsid w:val="005B1246"/>
    <w:rsid w:val="005B12E0"/>
    <w:rsid w:val="005B1A94"/>
    <w:rsid w:val="005B1E32"/>
    <w:rsid w:val="005B2327"/>
    <w:rsid w:val="005B266A"/>
    <w:rsid w:val="005B35EE"/>
    <w:rsid w:val="005B3CA1"/>
    <w:rsid w:val="005B42FD"/>
    <w:rsid w:val="005B4F1E"/>
    <w:rsid w:val="005B560F"/>
    <w:rsid w:val="005B5D9E"/>
    <w:rsid w:val="005B5DD5"/>
    <w:rsid w:val="005B6233"/>
    <w:rsid w:val="005B64A6"/>
    <w:rsid w:val="005B65F4"/>
    <w:rsid w:val="005B72EE"/>
    <w:rsid w:val="005B74BF"/>
    <w:rsid w:val="005B75B9"/>
    <w:rsid w:val="005C00CD"/>
    <w:rsid w:val="005C03E0"/>
    <w:rsid w:val="005C07A5"/>
    <w:rsid w:val="005C0933"/>
    <w:rsid w:val="005C0DE1"/>
    <w:rsid w:val="005C134C"/>
    <w:rsid w:val="005C187C"/>
    <w:rsid w:val="005C1CEB"/>
    <w:rsid w:val="005C2356"/>
    <w:rsid w:val="005C366E"/>
    <w:rsid w:val="005C3E3F"/>
    <w:rsid w:val="005C436D"/>
    <w:rsid w:val="005C45EA"/>
    <w:rsid w:val="005C4E6E"/>
    <w:rsid w:val="005C5152"/>
    <w:rsid w:val="005C5744"/>
    <w:rsid w:val="005C57C0"/>
    <w:rsid w:val="005C6200"/>
    <w:rsid w:val="005C7CD2"/>
    <w:rsid w:val="005D0A23"/>
    <w:rsid w:val="005D122E"/>
    <w:rsid w:val="005D16C8"/>
    <w:rsid w:val="005D188C"/>
    <w:rsid w:val="005D1A2F"/>
    <w:rsid w:val="005D2D06"/>
    <w:rsid w:val="005D356F"/>
    <w:rsid w:val="005D3CE1"/>
    <w:rsid w:val="005D4A3A"/>
    <w:rsid w:val="005D4EB7"/>
    <w:rsid w:val="005D51A3"/>
    <w:rsid w:val="005D56F0"/>
    <w:rsid w:val="005D5703"/>
    <w:rsid w:val="005D5C24"/>
    <w:rsid w:val="005D5EDB"/>
    <w:rsid w:val="005D66DC"/>
    <w:rsid w:val="005D6AFB"/>
    <w:rsid w:val="005D7A68"/>
    <w:rsid w:val="005D7C98"/>
    <w:rsid w:val="005E0484"/>
    <w:rsid w:val="005E273E"/>
    <w:rsid w:val="005E2B8B"/>
    <w:rsid w:val="005E33CB"/>
    <w:rsid w:val="005E34EB"/>
    <w:rsid w:val="005E46A4"/>
    <w:rsid w:val="005E4BF5"/>
    <w:rsid w:val="005E5197"/>
    <w:rsid w:val="005E51B0"/>
    <w:rsid w:val="005E55DA"/>
    <w:rsid w:val="005E6C61"/>
    <w:rsid w:val="005E6E5A"/>
    <w:rsid w:val="005F01B6"/>
    <w:rsid w:val="005F029B"/>
    <w:rsid w:val="005F07C6"/>
    <w:rsid w:val="005F2ACA"/>
    <w:rsid w:val="005F33E9"/>
    <w:rsid w:val="005F3930"/>
    <w:rsid w:val="005F3D80"/>
    <w:rsid w:val="005F3EF2"/>
    <w:rsid w:val="005F41A6"/>
    <w:rsid w:val="005F501D"/>
    <w:rsid w:val="005F5404"/>
    <w:rsid w:val="005F58B3"/>
    <w:rsid w:val="005F5A32"/>
    <w:rsid w:val="005F5CE2"/>
    <w:rsid w:val="005F634A"/>
    <w:rsid w:val="005F6CF3"/>
    <w:rsid w:val="005F7874"/>
    <w:rsid w:val="005F7E28"/>
    <w:rsid w:val="006003ED"/>
    <w:rsid w:val="00600AC1"/>
    <w:rsid w:val="00600D11"/>
    <w:rsid w:val="00600EA5"/>
    <w:rsid w:val="0060138A"/>
    <w:rsid w:val="00602042"/>
    <w:rsid w:val="006024CA"/>
    <w:rsid w:val="00602AE3"/>
    <w:rsid w:val="00602DC9"/>
    <w:rsid w:val="00603338"/>
    <w:rsid w:val="00603CE2"/>
    <w:rsid w:val="00604FD2"/>
    <w:rsid w:val="00605278"/>
    <w:rsid w:val="00605584"/>
    <w:rsid w:val="006059A0"/>
    <w:rsid w:val="0060663C"/>
    <w:rsid w:val="00607C1A"/>
    <w:rsid w:val="00610635"/>
    <w:rsid w:val="00611802"/>
    <w:rsid w:val="00611D94"/>
    <w:rsid w:val="006128C2"/>
    <w:rsid w:val="00612979"/>
    <w:rsid w:val="0061358B"/>
    <w:rsid w:val="0061398B"/>
    <w:rsid w:val="00613CED"/>
    <w:rsid w:val="006144C9"/>
    <w:rsid w:val="0061472E"/>
    <w:rsid w:val="006154F8"/>
    <w:rsid w:val="0061564F"/>
    <w:rsid w:val="00616100"/>
    <w:rsid w:val="00616380"/>
    <w:rsid w:val="00616455"/>
    <w:rsid w:val="006164BC"/>
    <w:rsid w:val="006168D4"/>
    <w:rsid w:val="006172BF"/>
    <w:rsid w:val="00617DB1"/>
    <w:rsid w:val="00621A87"/>
    <w:rsid w:val="00621DA2"/>
    <w:rsid w:val="00622ACA"/>
    <w:rsid w:val="006233FC"/>
    <w:rsid w:val="006234D9"/>
    <w:rsid w:val="0062355D"/>
    <w:rsid w:val="00623CBD"/>
    <w:rsid w:val="0062473D"/>
    <w:rsid w:val="00624A63"/>
    <w:rsid w:val="006256B2"/>
    <w:rsid w:val="00627314"/>
    <w:rsid w:val="006277F1"/>
    <w:rsid w:val="00627A3D"/>
    <w:rsid w:val="006305B5"/>
    <w:rsid w:val="006312CA"/>
    <w:rsid w:val="00631750"/>
    <w:rsid w:val="00632313"/>
    <w:rsid w:val="00633443"/>
    <w:rsid w:val="006338A2"/>
    <w:rsid w:val="00633CBE"/>
    <w:rsid w:val="0063418C"/>
    <w:rsid w:val="0063426D"/>
    <w:rsid w:val="006347DF"/>
    <w:rsid w:val="00634B2F"/>
    <w:rsid w:val="00635584"/>
    <w:rsid w:val="00635ACA"/>
    <w:rsid w:val="00636353"/>
    <w:rsid w:val="006366E8"/>
    <w:rsid w:val="006373F7"/>
    <w:rsid w:val="00637B87"/>
    <w:rsid w:val="006408B3"/>
    <w:rsid w:val="00641C78"/>
    <w:rsid w:val="0064200B"/>
    <w:rsid w:val="006432B7"/>
    <w:rsid w:val="00643355"/>
    <w:rsid w:val="006435FB"/>
    <w:rsid w:val="006439DB"/>
    <w:rsid w:val="00643A48"/>
    <w:rsid w:val="00643B6F"/>
    <w:rsid w:val="00643D7B"/>
    <w:rsid w:val="0064551F"/>
    <w:rsid w:val="006456E5"/>
    <w:rsid w:val="00645903"/>
    <w:rsid w:val="0064653F"/>
    <w:rsid w:val="00646869"/>
    <w:rsid w:val="00646ED1"/>
    <w:rsid w:val="0064756B"/>
    <w:rsid w:val="00647968"/>
    <w:rsid w:val="00647B45"/>
    <w:rsid w:val="00647F9F"/>
    <w:rsid w:val="00647FE1"/>
    <w:rsid w:val="00650E92"/>
    <w:rsid w:val="00650FA3"/>
    <w:rsid w:val="00651337"/>
    <w:rsid w:val="00651887"/>
    <w:rsid w:val="006518DC"/>
    <w:rsid w:val="00652C44"/>
    <w:rsid w:val="00652CC1"/>
    <w:rsid w:val="00652E49"/>
    <w:rsid w:val="00653266"/>
    <w:rsid w:val="00653883"/>
    <w:rsid w:val="00653BA7"/>
    <w:rsid w:val="00654538"/>
    <w:rsid w:val="0065498D"/>
    <w:rsid w:val="006549EE"/>
    <w:rsid w:val="00655591"/>
    <w:rsid w:val="00655601"/>
    <w:rsid w:val="006556F3"/>
    <w:rsid w:val="006557A9"/>
    <w:rsid w:val="0065640E"/>
    <w:rsid w:val="006564B8"/>
    <w:rsid w:val="00660246"/>
    <w:rsid w:val="00660356"/>
    <w:rsid w:val="0066037B"/>
    <w:rsid w:val="00660726"/>
    <w:rsid w:val="00661E31"/>
    <w:rsid w:val="006621B6"/>
    <w:rsid w:val="00662F07"/>
    <w:rsid w:val="0066312A"/>
    <w:rsid w:val="00663709"/>
    <w:rsid w:val="00663907"/>
    <w:rsid w:val="00665B78"/>
    <w:rsid w:val="00665DCD"/>
    <w:rsid w:val="00665FD6"/>
    <w:rsid w:val="006663EC"/>
    <w:rsid w:val="00666F17"/>
    <w:rsid w:val="0066740D"/>
    <w:rsid w:val="00670138"/>
    <w:rsid w:val="006715A8"/>
    <w:rsid w:val="00671773"/>
    <w:rsid w:val="00672A1E"/>
    <w:rsid w:val="00672F2B"/>
    <w:rsid w:val="00672F95"/>
    <w:rsid w:val="00673BDC"/>
    <w:rsid w:val="00674284"/>
    <w:rsid w:val="00674916"/>
    <w:rsid w:val="00674DCC"/>
    <w:rsid w:val="006752B0"/>
    <w:rsid w:val="00675BA8"/>
    <w:rsid w:val="006760FC"/>
    <w:rsid w:val="006767C3"/>
    <w:rsid w:val="006778B2"/>
    <w:rsid w:val="00677E65"/>
    <w:rsid w:val="0068343D"/>
    <w:rsid w:val="00683EB3"/>
    <w:rsid w:val="006840E2"/>
    <w:rsid w:val="00684219"/>
    <w:rsid w:val="00684650"/>
    <w:rsid w:val="00684711"/>
    <w:rsid w:val="00684E2B"/>
    <w:rsid w:val="006858B9"/>
    <w:rsid w:val="00685BA6"/>
    <w:rsid w:val="00685D05"/>
    <w:rsid w:val="006860F3"/>
    <w:rsid w:val="0068640D"/>
    <w:rsid w:val="00687391"/>
    <w:rsid w:val="0068781F"/>
    <w:rsid w:val="0069094F"/>
    <w:rsid w:val="00691614"/>
    <w:rsid w:val="00692E89"/>
    <w:rsid w:val="00693A1E"/>
    <w:rsid w:val="00693CCF"/>
    <w:rsid w:val="00693DFC"/>
    <w:rsid w:val="00693EE4"/>
    <w:rsid w:val="00694200"/>
    <w:rsid w:val="006953E7"/>
    <w:rsid w:val="00695BF3"/>
    <w:rsid w:val="00696C60"/>
    <w:rsid w:val="00696FF5"/>
    <w:rsid w:val="006970B8"/>
    <w:rsid w:val="00697ED6"/>
    <w:rsid w:val="006A01FC"/>
    <w:rsid w:val="006A1643"/>
    <w:rsid w:val="006A2253"/>
    <w:rsid w:val="006A2654"/>
    <w:rsid w:val="006A281F"/>
    <w:rsid w:val="006A3D42"/>
    <w:rsid w:val="006A4244"/>
    <w:rsid w:val="006A4D98"/>
    <w:rsid w:val="006A51FF"/>
    <w:rsid w:val="006A54AB"/>
    <w:rsid w:val="006A58F2"/>
    <w:rsid w:val="006A6775"/>
    <w:rsid w:val="006A6C69"/>
    <w:rsid w:val="006A7480"/>
    <w:rsid w:val="006A7544"/>
    <w:rsid w:val="006A7CAF"/>
    <w:rsid w:val="006B00F4"/>
    <w:rsid w:val="006B06C3"/>
    <w:rsid w:val="006B0C4D"/>
    <w:rsid w:val="006B14CD"/>
    <w:rsid w:val="006B1F4C"/>
    <w:rsid w:val="006B20B7"/>
    <w:rsid w:val="006B35FF"/>
    <w:rsid w:val="006B42A3"/>
    <w:rsid w:val="006B4445"/>
    <w:rsid w:val="006B4D8F"/>
    <w:rsid w:val="006B5F80"/>
    <w:rsid w:val="006B6393"/>
    <w:rsid w:val="006B641C"/>
    <w:rsid w:val="006B6EBF"/>
    <w:rsid w:val="006B748B"/>
    <w:rsid w:val="006C002A"/>
    <w:rsid w:val="006C1932"/>
    <w:rsid w:val="006C195A"/>
    <w:rsid w:val="006C1B90"/>
    <w:rsid w:val="006C2022"/>
    <w:rsid w:val="006C2368"/>
    <w:rsid w:val="006C2382"/>
    <w:rsid w:val="006C2467"/>
    <w:rsid w:val="006C296B"/>
    <w:rsid w:val="006C2F48"/>
    <w:rsid w:val="006C37EF"/>
    <w:rsid w:val="006C3F9F"/>
    <w:rsid w:val="006C4F2F"/>
    <w:rsid w:val="006C50BB"/>
    <w:rsid w:val="006C5210"/>
    <w:rsid w:val="006C6949"/>
    <w:rsid w:val="006C75FD"/>
    <w:rsid w:val="006D055B"/>
    <w:rsid w:val="006D099B"/>
    <w:rsid w:val="006D0AB6"/>
    <w:rsid w:val="006D0C8B"/>
    <w:rsid w:val="006D0F9C"/>
    <w:rsid w:val="006D1154"/>
    <w:rsid w:val="006D195A"/>
    <w:rsid w:val="006D23FB"/>
    <w:rsid w:val="006D3FE9"/>
    <w:rsid w:val="006D52B7"/>
    <w:rsid w:val="006D5663"/>
    <w:rsid w:val="006D569D"/>
    <w:rsid w:val="006D585B"/>
    <w:rsid w:val="006D65B0"/>
    <w:rsid w:val="006D6CEE"/>
    <w:rsid w:val="006D6EBD"/>
    <w:rsid w:val="006D7009"/>
    <w:rsid w:val="006D7506"/>
    <w:rsid w:val="006D7935"/>
    <w:rsid w:val="006E01AC"/>
    <w:rsid w:val="006E052E"/>
    <w:rsid w:val="006E063D"/>
    <w:rsid w:val="006E1461"/>
    <w:rsid w:val="006E1E76"/>
    <w:rsid w:val="006E3086"/>
    <w:rsid w:val="006E3840"/>
    <w:rsid w:val="006E4B2B"/>
    <w:rsid w:val="006E565A"/>
    <w:rsid w:val="006E5FE3"/>
    <w:rsid w:val="006E600A"/>
    <w:rsid w:val="006E69F3"/>
    <w:rsid w:val="006E73EF"/>
    <w:rsid w:val="006E76ED"/>
    <w:rsid w:val="006F07CD"/>
    <w:rsid w:val="006F07FD"/>
    <w:rsid w:val="006F0F08"/>
    <w:rsid w:val="006F1731"/>
    <w:rsid w:val="006F1ECF"/>
    <w:rsid w:val="006F2026"/>
    <w:rsid w:val="006F2402"/>
    <w:rsid w:val="006F2658"/>
    <w:rsid w:val="006F3FC1"/>
    <w:rsid w:val="006F413E"/>
    <w:rsid w:val="006F5C45"/>
    <w:rsid w:val="006F618A"/>
    <w:rsid w:val="006F64D4"/>
    <w:rsid w:val="006F674A"/>
    <w:rsid w:val="006F7233"/>
    <w:rsid w:val="006F7271"/>
    <w:rsid w:val="006F763A"/>
    <w:rsid w:val="0070057C"/>
    <w:rsid w:val="00700C94"/>
    <w:rsid w:val="00700EB2"/>
    <w:rsid w:val="00701696"/>
    <w:rsid w:val="0070185F"/>
    <w:rsid w:val="00701C7E"/>
    <w:rsid w:val="00701FFF"/>
    <w:rsid w:val="00702675"/>
    <w:rsid w:val="0070281C"/>
    <w:rsid w:val="00702ABA"/>
    <w:rsid w:val="00702E56"/>
    <w:rsid w:val="00703702"/>
    <w:rsid w:val="00703CD5"/>
    <w:rsid w:val="00703F06"/>
    <w:rsid w:val="00704063"/>
    <w:rsid w:val="007062F7"/>
    <w:rsid w:val="007071D1"/>
    <w:rsid w:val="00707D36"/>
    <w:rsid w:val="00710369"/>
    <w:rsid w:val="007107F2"/>
    <w:rsid w:val="00712F6E"/>
    <w:rsid w:val="007133BB"/>
    <w:rsid w:val="00713570"/>
    <w:rsid w:val="0071494D"/>
    <w:rsid w:val="00714F89"/>
    <w:rsid w:val="007153A4"/>
    <w:rsid w:val="00715E67"/>
    <w:rsid w:val="00716066"/>
    <w:rsid w:val="00716BC0"/>
    <w:rsid w:val="00716CAF"/>
    <w:rsid w:val="007176C3"/>
    <w:rsid w:val="00717FFC"/>
    <w:rsid w:val="00720232"/>
    <w:rsid w:val="007211CF"/>
    <w:rsid w:val="007213EB"/>
    <w:rsid w:val="007220C2"/>
    <w:rsid w:val="00722485"/>
    <w:rsid w:val="007227FD"/>
    <w:rsid w:val="00722832"/>
    <w:rsid w:val="00723666"/>
    <w:rsid w:val="00723F6E"/>
    <w:rsid w:val="00724170"/>
    <w:rsid w:val="00725704"/>
    <w:rsid w:val="0072636F"/>
    <w:rsid w:val="0072661C"/>
    <w:rsid w:val="0072677B"/>
    <w:rsid w:val="00726855"/>
    <w:rsid w:val="007269BE"/>
    <w:rsid w:val="00727F26"/>
    <w:rsid w:val="00730BBD"/>
    <w:rsid w:val="00730E0A"/>
    <w:rsid w:val="0073108D"/>
    <w:rsid w:val="007315BD"/>
    <w:rsid w:val="00731839"/>
    <w:rsid w:val="0073183D"/>
    <w:rsid w:val="0073242A"/>
    <w:rsid w:val="00732C38"/>
    <w:rsid w:val="00733E37"/>
    <w:rsid w:val="007342D1"/>
    <w:rsid w:val="007342FC"/>
    <w:rsid w:val="00734782"/>
    <w:rsid w:val="00734BD6"/>
    <w:rsid w:val="00734F07"/>
    <w:rsid w:val="00734FCD"/>
    <w:rsid w:val="00735315"/>
    <w:rsid w:val="00736BE6"/>
    <w:rsid w:val="00736EC9"/>
    <w:rsid w:val="0074015B"/>
    <w:rsid w:val="0074031C"/>
    <w:rsid w:val="0074067E"/>
    <w:rsid w:val="00740A9B"/>
    <w:rsid w:val="00741A99"/>
    <w:rsid w:val="00741E2B"/>
    <w:rsid w:val="00743296"/>
    <w:rsid w:val="00743CF6"/>
    <w:rsid w:val="00743DD3"/>
    <w:rsid w:val="00743FEF"/>
    <w:rsid w:val="00744535"/>
    <w:rsid w:val="00745051"/>
    <w:rsid w:val="00745A8C"/>
    <w:rsid w:val="007462F2"/>
    <w:rsid w:val="007468BD"/>
    <w:rsid w:val="00746D0C"/>
    <w:rsid w:val="00747D80"/>
    <w:rsid w:val="007507C1"/>
    <w:rsid w:val="0075141B"/>
    <w:rsid w:val="007517DD"/>
    <w:rsid w:val="00751E71"/>
    <w:rsid w:val="00752746"/>
    <w:rsid w:val="0075290B"/>
    <w:rsid w:val="00752B99"/>
    <w:rsid w:val="007530A6"/>
    <w:rsid w:val="00753C62"/>
    <w:rsid w:val="00753D0D"/>
    <w:rsid w:val="00754A20"/>
    <w:rsid w:val="00755059"/>
    <w:rsid w:val="00755D69"/>
    <w:rsid w:val="00755E6D"/>
    <w:rsid w:val="00756E0F"/>
    <w:rsid w:val="00760208"/>
    <w:rsid w:val="007607ED"/>
    <w:rsid w:val="007614F8"/>
    <w:rsid w:val="007625AD"/>
    <w:rsid w:val="00762D00"/>
    <w:rsid w:val="0076330B"/>
    <w:rsid w:val="00763884"/>
    <w:rsid w:val="00763E4C"/>
    <w:rsid w:val="0076502E"/>
    <w:rsid w:val="00765B50"/>
    <w:rsid w:val="00765DF3"/>
    <w:rsid w:val="007661E8"/>
    <w:rsid w:val="007662C4"/>
    <w:rsid w:val="0076684E"/>
    <w:rsid w:val="00766D97"/>
    <w:rsid w:val="007676AA"/>
    <w:rsid w:val="007677F2"/>
    <w:rsid w:val="00770849"/>
    <w:rsid w:val="00770959"/>
    <w:rsid w:val="00771698"/>
    <w:rsid w:val="00773584"/>
    <w:rsid w:val="00773BF6"/>
    <w:rsid w:val="00774A38"/>
    <w:rsid w:val="007751CF"/>
    <w:rsid w:val="0077545C"/>
    <w:rsid w:val="00775E9C"/>
    <w:rsid w:val="007765DB"/>
    <w:rsid w:val="0077708E"/>
    <w:rsid w:val="00780637"/>
    <w:rsid w:val="0078077C"/>
    <w:rsid w:val="0078088C"/>
    <w:rsid w:val="00780C0E"/>
    <w:rsid w:val="00781633"/>
    <w:rsid w:val="007816BF"/>
    <w:rsid w:val="00781A6A"/>
    <w:rsid w:val="0078211D"/>
    <w:rsid w:val="00782B50"/>
    <w:rsid w:val="007843F0"/>
    <w:rsid w:val="0078571B"/>
    <w:rsid w:val="007872DA"/>
    <w:rsid w:val="0078731F"/>
    <w:rsid w:val="00787C30"/>
    <w:rsid w:val="00787CCA"/>
    <w:rsid w:val="00790269"/>
    <w:rsid w:val="0079069D"/>
    <w:rsid w:val="00791DDA"/>
    <w:rsid w:val="00791EA7"/>
    <w:rsid w:val="007922C8"/>
    <w:rsid w:val="00792346"/>
    <w:rsid w:val="00792FD0"/>
    <w:rsid w:val="00793235"/>
    <w:rsid w:val="00793374"/>
    <w:rsid w:val="0079380D"/>
    <w:rsid w:val="00794B91"/>
    <w:rsid w:val="00794BB4"/>
    <w:rsid w:val="0079503B"/>
    <w:rsid w:val="007955CF"/>
    <w:rsid w:val="007958C4"/>
    <w:rsid w:val="00795CF1"/>
    <w:rsid w:val="00795FA9"/>
    <w:rsid w:val="007A0777"/>
    <w:rsid w:val="007A0862"/>
    <w:rsid w:val="007A14A8"/>
    <w:rsid w:val="007A1AD7"/>
    <w:rsid w:val="007A260D"/>
    <w:rsid w:val="007A2922"/>
    <w:rsid w:val="007A4123"/>
    <w:rsid w:val="007A4BC3"/>
    <w:rsid w:val="007A51C0"/>
    <w:rsid w:val="007A58AD"/>
    <w:rsid w:val="007A5FB1"/>
    <w:rsid w:val="007A717E"/>
    <w:rsid w:val="007A7D60"/>
    <w:rsid w:val="007B1524"/>
    <w:rsid w:val="007B1BB4"/>
    <w:rsid w:val="007B1DB6"/>
    <w:rsid w:val="007B2085"/>
    <w:rsid w:val="007B2B27"/>
    <w:rsid w:val="007B3647"/>
    <w:rsid w:val="007B388D"/>
    <w:rsid w:val="007B3BE7"/>
    <w:rsid w:val="007B3D7B"/>
    <w:rsid w:val="007B58F0"/>
    <w:rsid w:val="007B5920"/>
    <w:rsid w:val="007B59A2"/>
    <w:rsid w:val="007B5F2E"/>
    <w:rsid w:val="007B6390"/>
    <w:rsid w:val="007B63B4"/>
    <w:rsid w:val="007B6791"/>
    <w:rsid w:val="007B7194"/>
    <w:rsid w:val="007B7257"/>
    <w:rsid w:val="007C0609"/>
    <w:rsid w:val="007C1AC6"/>
    <w:rsid w:val="007C1F8D"/>
    <w:rsid w:val="007C2732"/>
    <w:rsid w:val="007C2982"/>
    <w:rsid w:val="007C2D98"/>
    <w:rsid w:val="007C3A7E"/>
    <w:rsid w:val="007C3ED2"/>
    <w:rsid w:val="007C464B"/>
    <w:rsid w:val="007C530A"/>
    <w:rsid w:val="007C5B5F"/>
    <w:rsid w:val="007C61C5"/>
    <w:rsid w:val="007C63E5"/>
    <w:rsid w:val="007C656E"/>
    <w:rsid w:val="007C6894"/>
    <w:rsid w:val="007C68BA"/>
    <w:rsid w:val="007C7790"/>
    <w:rsid w:val="007C7FC9"/>
    <w:rsid w:val="007D013B"/>
    <w:rsid w:val="007D094A"/>
    <w:rsid w:val="007D0FB8"/>
    <w:rsid w:val="007D13A2"/>
    <w:rsid w:val="007D1CAF"/>
    <w:rsid w:val="007D1F92"/>
    <w:rsid w:val="007D341B"/>
    <w:rsid w:val="007D38BC"/>
    <w:rsid w:val="007D3F0B"/>
    <w:rsid w:val="007D446F"/>
    <w:rsid w:val="007D4516"/>
    <w:rsid w:val="007D4A1E"/>
    <w:rsid w:val="007D4DFF"/>
    <w:rsid w:val="007D4E62"/>
    <w:rsid w:val="007D5C8E"/>
    <w:rsid w:val="007D6245"/>
    <w:rsid w:val="007D63A5"/>
    <w:rsid w:val="007D686D"/>
    <w:rsid w:val="007D72B8"/>
    <w:rsid w:val="007D75B5"/>
    <w:rsid w:val="007E0C2C"/>
    <w:rsid w:val="007E17AF"/>
    <w:rsid w:val="007E273C"/>
    <w:rsid w:val="007E2D60"/>
    <w:rsid w:val="007E2F95"/>
    <w:rsid w:val="007E30A8"/>
    <w:rsid w:val="007E319D"/>
    <w:rsid w:val="007E3BC4"/>
    <w:rsid w:val="007E3E81"/>
    <w:rsid w:val="007E442B"/>
    <w:rsid w:val="007E5FBE"/>
    <w:rsid w:val="007E653C"/>
    <w:rsid w:val="007E66BF"/>
    <w:rsid w:val="007E6F7A"/>
    <w:rsid w:val="007E74C3"/>
    <w:rsid w:val="007E7679"/>
    <w:rsid w:val="007E7D24"/>
    <w:rsid w:val="007F06FC"/>
    <w:rsid w:val="007F0932"/>
    <w:rsid w:val="007F204F"/>
    <w:rsid w:val="007F2258"/>
    <w:rsid w:val="007F28A0"/>
    <w:rsid w:val="007F2A12"/>
    <w:rsid w:val="007F3132"/>
    <w:rsid w:val="007F4AE8"/>
    <w:rsid w:val="007F59E2"/>
    <w:rsid w:val="007F5B9D"/>
    <w:rsid w:val="007F6B4D"/>
    <w:rsid w:val="007F6EFB"/>
    <w:rsid w:val="00800387"/>
    <w:rsid w:val="00800BC0"/>
    <w:rsid w:val="008014ED"/>
    <w:rsid w:val="008018B9"/>
    <w:rsid w:val="00801E4C"/>
    <w:rsid w:val="00802124"/>
    <w:rsid w:val="00802CC2"/>
    <w:rsid w:val="00802FB6"/>
    <w:rsid w:val="008037DF"/>
    <w:rsid w:val="008041CE"/>
    <w:rsid w:val="008048FA"/>
    <w:rsid w:val="00804A47"/>
    <w:rsid w:val="008059F7"/>
    <w:rsid w:val="0080620F"/>
    <w:rsid w:val="00806EB4"/>
    <w:rsid w:val="00810086"/>
    <w:rsid w:val="00811CB5"/>
    <w:rsid w:val="00812B85"/>
    <w:rsid w:val="00813E03"/>
    <w:rsid w:val="00814BE3"/>
    <w:rsid w:val="00815021"/>
    <w:rsid w:val="008165C3"/>
    <w:rsid w:val="008167BC"/>
    <w:rsid w:val="00816D31"/>
    <w:rsid w:val="00816D7C"/>
    <w:rsid w:val="008172ED"/>
    <w:rsid w:val="00817B0A"/>
    <w:rsid w:val="0082006D"/>
    <w:rsid w:val="008202F9"/>
    <w:rsid w:val="0082037A"/>
    <w:rsid w:val="008206EA"/>
    <w:rsid w:val="008206FE"/>
    <w:rsid w:val="00820B6E"/>
    <w:rsid w:val="00822075"/>
    <w:rsid w:val="008220D0"/>
    <w:rsid w:val="008234CE"/>
    <w:rsid w:val="008237FD"/>
    <w:rsid w:val="00823997"/>
    <w:rsid w:val="00824195"/>
    <w:rsid w:val="00824403"/>
    <w:rsid w:val="00824648"/>
    <w:rsid w:val="00824D90"/>
    <w:rsid w:val="008251A7"/>
    <w:rsid w:val="008260E7"/>
    <w:rsid w:val="00826616"/>
    <w:rsid w:val="008270A4"/>
    <w:rsid w:val="00827654"/>
    <w:rsid w:val="00830971"/>
    <w:rsid w:val="008312AF"/>
    <w:rsid w:val="008312CB"/>
    <w:rsid w:val="0083164B"/>
    <w:rsid w:val="008319EF"/>
    <w:rsid w:val="008320A6"/>
    <w:rsid w:val="008322DD"/>
    <w:rsid w:val="00834609"/>
    <w:rsid w:val="0083464D"/>
    <w:rsid w:val="008358AD"/>
    <w:rsid w:val="00836988"/>
    <w:rsid w:val="008369F8"/>
    <w:rsid w:val="00837A31"/>
    <w:rsid w:val="00837A94"/>
    <w:rsid w:val="00837B76"/>
    <w:rsid w:val="00837C01"/>
    <w:rsid w:val="00840637"/>
    <w:rsid w:val="00840655"/>
    <w:rsid w:val="0084083F"/>
    <w:rsid w:val="0084090D"/>
    <w:rsid w:val="00840961"/>
    <w:rsid w:val="00841ED9"/>
    <w:rsid w:val="0084240C"/>
    <w:rsid w:val="00842511"/>
    <w:rsid w:val="00843315"/>
    <w:rsid w:val="0084349C"/>
    <w:rsid w:val="008434B6"/>
    <w:rsid w:val="008435E0"/>
    <w:rsid w:val="00845DA6"/>
    <w:rsid w:val="00845FBA"/>
    <w:rsid w:val="008463FC"/>
    <w:rsid w:val="00846D23"/>
    <w:rsid w:val="00847ADB"/>
    <w:rsid w:val="00847D2D"/>
    <w:rsid w:val="00847DA4"/>
    <w:rsid w:val="00847FDD"/>
    <w:rsid w:val="00850770"/>
    <w:rsid w:val="008508E9"/>
    <w:rsid w:val="00850A20"/>
    <w:rsid w:val="008512DF"/>
    <w:rsid w:val="008521CC"/>
    <w:rsid w:val="00852A0B"/>
    <w:rsid w:val="008535D4"/>
    <w:rsid w:val="0085442F"/>
    <w:rsid w:val="008552AF"/>
    <w:rsid w:val="00855DDB"/>
    <w:rsid w:val="00855F2D"/>
    <w:rsid w:val="00856774"/>
    <w:rsid w:val="008567C6"/>
    <w:rsid w:val="00856B3C"/>
    <w:rsid w:val="008571CD"/>
    <w:rsid w:val="00857694"/>
    <w:rsid w:val="00857793"/>
    <w:rsid w:val="00857AF4"/>
    <w:rsid w:val="00857EB6"/>
    <w:rsid w:val="00860B46"/>
    <w:rsid w:val="00860FA5"/>
    <w:rsid w:val="0086107A"/>
    <w:rsid w:val="00863158"/>
    <w:rsid w:val="00863997"/>
    <w:rsid w:val="00863F6B"/>
    <w:rsid w:val="00864B8C"/>
    <w:rsid w:val="008662C5"/>
    <w:rsid w:val="008665AA"/>
    <w:rsid w:val="008665DA"/>
    <w:rsid w:val="00866DF7"/>
    <w:rsid w:val="00867526"/>
    <w:rsid w:val="00870AD1"/>
    <w:rsid w:val="00870B78"/>
    <w:rsid w:val="0087141C"/>
    <w:rsid w:val="00871C3A"/>
    <w:rsid w:val="0087300A"/>
    <w:rsid w:val="0087350F"/>
    <w:rsid w:val="0087384C"/>
    <w:rsid w:val="008738E4"/>
    <w:rsid w:val="00873B9A"/>
    <w:rsid w:val="00873C55"/>
    <w:rsid w:val="00873EFE"/>
    <w:rsid w:val="008742B8"/>
    <w:rsid w:val="00874D38"/>
    <w:rsid w:val="00874D56"/>
    <w:rsid w:val="008751DC"/>
    <w:rsid w:val="00875599"/>
    <w:rsid w:val="00875933"/>
    <w:rsid w:val="00875B79"/>
    <w:rsid w:val="0087641A"/>
    <w:rsid w:val="0087766F"/>
    <w:rsid w:val="008805C7"/>
    <w:rsid w:val="00880EF6"/>
    <w:rsid w:val="008813CB"/>
    <w:rsid w:val="00881F62"/>
    <w:rsid w:val="008828C2"/>
    <w:rsid w:val="00882EA5"/>
    <w:rsid w:val="00884A6A"/>
    <w:rsid w:val="00884E7E"/>
    <w:rsid w:val="0088574C"/>
    <w:rsid w:val="0088574E"/>
    <w:rsid w:val="00886217"/>
    <w:rsid w:val="00886891"/>
    <w:rsid w:val="00886D32"/>
    <w:rsid w:val="00886E7C"/>
    <w:rsid w:val="00886F3C"/>
    <w:rsid w:val="008878FE"/>
    <w:rsid w:val="00887F78"/>
    <w:rsid w:val="0089018C"/>
    <w:rsid w:val="0089056F"/>
    <w:rsid w:val="0089114B"/>
    <w:rsid w:val="008912EB"/>
    <w:rsid w:val="00891FBB"/>
    <w:rsid w:val="0089222F"/>
    <w:rsid w:val="00892310"/>
    <w:rsid w:val="00892608"/>
    <w:rsid w:val="00892DA0"/>
    <w:rsid w:val="00893E81"/>
    <w:rsid w:val="00894622"/>
    <w:rsid w:val="008946CB"/>
    <w:rsid w:val="00894899"/>
    <w:rsid w:val="00895200"/>
    <w:rsid w:val="00895322"/>
    <w:rsid w:val="008957D5"/>
    <w:rsid w:val="00895C40"/>
    <w:rsid w:val="00896143"/>
    <w:rsid w:val="0089720B"/>
    <w:rsid w:val="00897B0C"/>
    <w:rsid w:val="008A0355"/>
    <w:rsid w:val="008A2432"/>
    <w:rsid w:val="008A26E0"/>
    <w:rsid w:val="008A3434"/>
    <w:rsid w:val="008A3B71"/>
    <w:rsid w:val="008A6C99"/>
    <w:rsid w:val="008A7CC1"/>
    <w:rsid w:val="008B0558"/>
    <w:rsid w:val="008B055D"/>
    <w:rsid w:val="008B0BF1"/>
    <w:rsid w:val="008B12A6"/>
    <w:rsid w:val="008B13D8"/>
    <w:rsid w:val="008B1C18"/>
    <w:rsid w:val="008B232D"/>
    <w:rsid w:val="008B23D4"/>
    <w:rsid w:val="008B2ABB"/>
    <w:rsid w:val="008B2C01"/>
    <w:rsid w:val="008B2D43"/>
    <w:rsid w:val="008B33B3"/>
    <w:rsid w:val="008B34E6"/>
    <w:rsid w:val="008B3C33"/>
    <w:rsid w:val="008B3CFD"/>
    <w:rsid w:val="008B55A0"/>
    <w:rsid w:val="008B55A4"/>
    <w:rsid w:val="008B590C"/>
    <w:rsid w:val="008B63FD"/>
    <w:rsid w:val="008B6762"/>
    <w:rsid w:val="008C06EB"/>
    <w:rsid w:val="008C085A"/>
    <w:rsid w:val="008C0ACC"/>
    <w:rsid w:val="008C0FD4"/>
    <w:rsid w:val="008C1201"/>
    <w:rsid w:val="008C1615"/>
    <w:rsid w:val="008C1959"/>
    <w:rsid w:val="008C1B0A"/>
    <w:rsid w:val="008C1E1E"/>
    <w:rsid w:val="008C2453"/>
    <w:rsid w:val="008C28D3"/>
    <w:rsid w:val="008C2F53"/>
    <w:rsid w:val="008C3390"/>
    <w:rsid w:val="008C386D"/>
    <w:rsid w:val="008C38DB"/>
    <w:rsid w:val="008C3CEB"/>
    <w:rsid w:val="008C415D"/>
    <w:rsid w:val="008C48AC"/>
    <w:rsid w:val="008C4A5F"/>
    <w:rsid w:val="008C5128"/>
    <w:rsid w:val="008C5734"/>
    <w:rsid w:val="008C5ABF"/>
    <w:rsid w:val="008C6259"/>
    <w:rsid w:val="008C6BE9"/>
    <w:rsid w:val="008C6D2C"/>
    <w:rsid w:val="008C78BF"/>
    <w:rsid w:val="008D1079"/>
    <w:rsid w:val="008D10B2"/>
    <w:rsid w:val="008D11E9"/>
    <w:rsid w:val="008D1B4F"/>
    <w:rsid w:val="008D225F"/>
    <w:rsid w:val="008D250B"/>
    <w:rsid w:val="008D2598"/>
    <w:rsid w:val="008D27DB"/>
    <w:rsid w:val="008D3737"/>
    <w:rsid w:val="008D3B9F"/>
    <w:rsid w:val="008D75D4"/>
    <w:rsid w:val="008D7C94"/>
    <w:rsid w:val="008D7E0F"/>
    <w:rsid w:val="008D7E5C"/>
    <w:rsid w:val="008E006A"/>
    <w:rsid w:val="008E04AB"/>
    <w:rsid w:val="008E06F9"/>
    <w:rsid w:val="008E1128"/>
    <w:rsid w:val="008E1C5C"/>
    <w:rsid w:val="008E2083"/>
    <w:rsid w:val="008E3063"/>
    <w:rsid w:val="008E310E"/>
    <w:rsid w:val="008E31A2"/>
    <w:rsid w:val="008E341A"/>
    <w:rsid w:val="008E35A4"/>
    <w:rsid w:val="008E3A00"/>
    <w:rsid w:val="008E41AD"/>
    <w:rsid w:val="008E4987"/>
    <w:rsid w:val="008E5713"/>
    <w:rsid w:val="008E59A0"/>
    <w:rsid w:val="008E70B4"/>
    <w:rsid w:val="008E73A6"/>
    <w:rsid w:val="008F087B"/>
    <w:rsid w:val="008F11BD"/>
    <w:rsid w:val="008F1EC4"/>
    <w:rsid w:val="008F2655"/>
    <w:rsid w:val="008F3102"/>
    <w:rsid w:val="008F392B"/>
    <w:rsid w:val="008F3C59"/>
    <w:rsid w:val="008F3F57"/>
    <w:rsid w:val="008F4BD0"/>
    <w:rsid w:val="008F4D5D"/>
    <w:rsid w:val="008F54FF"/>
    <w:rsid w:val="008F5739"/>
    <w:rsid w:val="008F5AC3"/>
    <w:rsid w:val="008F6B66"/>
    <w:rsid w:val="008F6EF9"/>
    <w:rsid w:val="008F740C"/>
    <w:rsid w:val="008F7508"/>
    <w:rsid w:val="008F79BF"/>
    <w:rsid w:val="008F7B83"/>
    <w:rsid w:val="00900E7D"/>
    <w:rsid w:val="009011EC"/>
    <w:rsid w:val="009014DE"/>
    <w:rsid w:val="00901586"/>
    <w:rsid w:val="00901E90"/>
    <w:rsid w:val="0090439A"/>
    <w:rsid w:val="0090443E"/>
    <w:rsid w:val="009058BA"/>
    <w:rsid w:val="00906920"/>
    <w:rsid w:val="009069A3"/>
    <w:rsid w:val="009076A3"/>
    <w:rsid w:val="0091067B"/>
    <w:rsid w:val="009117C7"/>
    <w:rsid w:val="00911C9D"/>
    <w:rsid w:val="00911E36"/>
    <w:rsid w:val="0091336E"/>
    <w:rsid w:val="0091378E"/>
    <w:rsid w:val="00913FCB"/>
    <w:rsid w:val="0091455E"/>
    <w:rsid w:val="009149D2"/>
    <w:rsid w:val="009149E0"/>
    <w:rsid w:val="00914D43"/>
    <w:rsid w:val="00915094"/>
    <w:rsid w:val="00916128"/>
    <w:rsid w:val="009163F5"/>
    <w:rsid w:val="00916676"/>
    <w:rsid w:val="00916BE5"/>
    <w:rsid w:val="00916E1B"/>
    <w:rsid w:val="00916FFA"/>
    <w:rsid w:val="00917136"/>
    <w:rsid w:val="009172DA"/>
    <w:rsid w:val="00917BFA"/>
    <w:rsid w:val="00920496"/>
    <w:rsid w:val="009210F5"/>
    <w:rsid w:val="009214DB"/>
    <w:rsid w:val="0092255C"/>
    <w:rsid w:val="00923267"/>
    <w:rsid w:val="009235E6"/>
    <w:rsid w:val="00923BED"/>
    <w:rsid w:val="0092412F"/>
    <w:rsid w:val="00924510"/>
    <w:rsid w:val="00924619"/>
    <w:rsid w:val="00925485"/>
    <w:rsid w:val="009254D8"/>
    <w:rsid w:val="00925C65"/>
    <w:rsid w:val="00925E38"/>
    <w:rsid w:val="0092654E"/>
    <w:rsid w:val="00926982"/>
    <w:rsid w:val="009269C5"/>
    <w:rsid w:val="00926C54"/>
    <w:rsid w:val="0092718B"/>
    <w:rsid w:val="00927559"/>
    <w:rsid w:val="0092778D"/>
    <w:rsid w:val="00927B0B"/>
    <w:rsid w:val="00930968"/>
    <w:rsid w:val="00930D00"/>
    <w:rsid w:val="009316BA"/>
    <w:rsid w:val="0093218E"/>
    <w:rsid w:val="0093227A"/>
    <w:rsid w:val="0093315C"/>
    <w:rsid w:val="009331F4"/>
    <w:rsid w:val="0093368C"/>
    <w:rsid w:val="00933929"/>
    <w:rsid w:val="00933A0A"/>
    <w:rsid w:val="009358E8"/>
    <w:rsid w:val="00935AE9"/>
    <w:rsid w:val="00935CFB"/>
    <w:rsid w:val="009360D3"/>
    <w:rsid w:val="00937881"/>
    <w:rsid w:val="00937CB3"/>
    <w:rsid w:val="009403F6"/>
    <w:rsid w:val="00941521"/>
    <w:rsid w:val="0094182A"/>
    <w:rsid w:val="00941FDB"/>
    <w:rsid w:val="00942209"/>
    <w:rsid w:val="00944BD2"/>
    <w:rsid w:val="0094543D"/>
    <w:rsid w:val="00946210"/>
    <w:rsid w:val="00946610"/>
    <w:rsid w:val="009478D1"/>
    <w:rsid w:val="00947F9C"/>
    <w:rsid w:val="00951EA2"/>
    <w:rsid w:val="009528C8"/>
    <w:rsid w:val="00952C7C"/>
    <w:rsid w:val="00953844"/>
    <w:rsid w:val="009544E9"/>
    <w:rsid w:val="00954AAE"/>
    <w:rsid w:val="00954E64"/>
    <w:rsid w:val="00955BFF"/>
    <w:rsid w:val="009572CF"/>
    <w:rsid w:val="00957A74"/>
    <w:rsid w:val="009603FA"/>
    <w:rsid w:val="00960C70"/>
    <w:rsid w:val="00960C8F"/>
    <w:rsid w:val="00960F04"/>
    <w:rsid w:val="00961889"/>
    <w:rsid w:val="009620C2"/>
    <w:rsid w:val="00962F6C"/>
    <w:rsid w:val="0096348F"/>
    <w:rsid w:val="00963CC4"/>
    <w:rsid w:val="00964AF5"/>
    <w:rsid w:val="00965212"/>
    <w:rsid w:val="0096556C"/>
    <w:rsid w:val="00965AD7"/>
    <w:rsid w:val="00965AF9"/>
    <w:rsid w:val="00965B69"/>
    <w:rsid w:val="00966D6C"/>
    <w:rsid w:val="00967193"/>
    <w:rsid w:val="009676AC"/>
    <w:rsid w:val="009678E4"/>
    <w:rsid w:val="00967964"/>
    <w:rsid w:val="00967DE6"/>
    <w:rsid w:val="00970C3E"/>
    <w:rsid w:val="00971686"/>
    <w:rsid w:val="00971DAC"/>
    <w:rsid w:val="00972FE1"/>
    <w:rsid w:val="0097301D"/>
    <w:rsid w:val="00973BDA"/>
    <w:rsid w:val="00974693"/>
    <w:rsid w:val="00975D9E"/>
    <w:rsid w:val="00975E1A"/>
    <w:rsid w:val="00976E77"/>
    <w:rsid w:val="009770C3"/>
    <w:rsid w:val="00977764"/>
    <w:rsid w:val="00980323"/>
    <w:rsid w:val="009805A8"/>
    <w:rsid w:val="00980F88"/>
    <w:rsid w:val="00981ADA"/>
    <w:rsid w:val="00981BF8"/>
    <w:rsid w:val="00982070"/>
    <w:rsid w:val="00982C52"/>
    <w:rsid w:val="009838F3"/>
    <w:rsid w:val="00983AF6"/>
    <w:rsid w:val="009841C2"/>
    <w:rsid w:val="00984DF3"/>
    <w:rsid w:val="009851C3"/>
    <w:rsid w:val="009859D8"/>
    <w:rsid w:val="00987704"/>
    <w:rsid w:val="009905C1"/>
    <w:rsid w:val="00990920"/>
    <w:rsid w:val="00990B33"/>
    <w:rsid w:val="00990B7F"/>
    <w:rsid w:val="00991661"/>
    <w:rsid w:val="009918DA"/>
    <w:rsid w:val="00992101"/>
    <w:rsid w:val="0099291C"/>
    <w:rsid w:val="00992A61"/>
    <w:rsid w:val="00992EED"/>
    <w:rsid w:val="00994F7B"/>
    <w:rsid w:val="00995512"/>
    <w:rsid w:val="00995AE6"/>
    <w:rsid w:val="009962AC"/>
    <w:rsid w:val="00996A59"/>
    <w:rsid w:val="009A087F"/>
    <w:rsid w:val="009A0979"/>
    <w:rsid w:val="009A09A0"/>
    <w:rsid w:val="009A1215"/>
    <w:rsid w:val="009A182F"/>
    <w:rsid w:val="009A2053"/>
    <w:rsid w:val="009A2551"/>
    <w:rsid w:val="009A5315"/>
    <w:rsid w:val="009A5617"/>
    <w:rsid w:val="009A5620"/>
    <w:rsid w:val="009A5A08"/>
    <w:rsid w:val="009A5D35"/>
    <w:rsid w:val="009A636C"/>
    <w:rsid w:val="009A6C4E"/>
    <w:rsid w:val="009A7C89"/>
    <w:rsid w:val="009B1108"/>
    <w:rsid w:val="009B16AB"/>
    <w:rsid w:val="009B301D"/>
    <w:rsid w:val="009B3250"/>
    <w:rsid w:val="009B343D"/>
    <w:rsid w:val="009B4331"/>
    <w:rsid w:val="009B4B0E"/>
    <w:rsid w:val="009B5EBE"/>
    <w:rsid w:val="009B60AC"/>
    <w:rsid w:val="009B6B26"/>
    <w:rsid w:val="009B6B5A"/>
    <w:rsid w:val="009B79F4"/>
    <w:rsid w:val="009B7ADF"/>
    <w:rsid w:val="009C0A57"/>
    <w:rsid w:val="009C12DC"/>
    <w:rsid w:val="009C1352"/>
    <w:rsid w:val="009C1A9A"/>
    <w:rsid w:val="009C24D1"/>
    <w:rsid w:val="009C432F"/>
    <w:rsid w:val="009C503F"/>
    <w:rsid w:val="009C5D74"/>
    <w:rsid w:val="009C6824"/>
    <w:rsid w:val="009C683B"/>
    <w:rsid w:val="009C6897"/>
    <w:rsid w:val="009C6F53"/>
    <w:rsid w:val="009C7A37"/>
    <w:rsid w:val="009D01FC"/>
    <w:rsid w:val="009D0E94"/>
    <w:rsid w:val="009D167F"/>
    <w:rsid w:val="009D1FDB"/>
    <w:rsid w:val="009D228E"/>
    <w:rsid w:val="009D281B"/>
    <w:rsid w:val="009D2D16"/>
    <w:rsid w:val="009D2E0E"/>
    <w:rsid w:val="009D353B"/>
    <w:rsid w:val="009D3F8C"/>
    <w:rsid w:val="009D64FA"/>
    <w:rsid w:val="009D6BF9"/>
    <w:rsid w:val="009D7A3E"/>
    <w:rsid w:val="009D7D14"/>
    <w:rsid w:val="009D7FA8"/>
    <w:rsid w:val="009E056C"/>
    <w:rsid w:val="009E1F71"/>
    <w:rsid w:val="009E3607"/>
    <w:rsid w:val="009E361F"/>
    <w:rsid w:val="009E484F"/>
    <w:rsid w:val="009E4978"/>
    <w:rsid w:val="009E50A5"/>
    <w:rsid w:val="009E5166"/>
    <w:rsid w:val="009E5923"/>
    <w:rsid w:val="009E6EC4"/>
    <w:rsid w:val="009E71DE"/>
    <w:rsid w:val="009E78EA"/>
    <w:rsid w:val="009F0567"/>
    <w:rsid w:val="009F0592"/>
    <w:rsid w:val="009F0D26"/>
    <w:rsid w:val="009F179C"/>
    <w:rsid w:val="009F1867"/>
    <w:rsid w:val="009F372C"/>
    <w:rsid w:val="009F4381"/>
    <w:rsid w:val="009F4459"/>
    <w:rsid w:val="009F4546"/>
    <w:rsid w:val="009F4B2A"/>
    <w:rsid w:val="009F5012"/>
    <w:rsid w:val="009F5490"/>
    <w:rsid w:val="009F5E9A"/>
    <w:rsid w:val="009F5F48"/>
    <w:rsid w:val="009F620F"/>
    <w:rsid w:val="009F62A2"/>
    <w:rsid w:val="009F6FBD"/>
    <w:rsid w:val="009F7224"/>
    <w:rsid w:val="009F72C0"/>
    <w:rsid w:val="009F72DB"/>
    <w:rsid w:val="009F7582"/>
    <w:rsid w:val="009F7ADE"/>
    <w:rsid w:val="009F7B22"/>
    <w:rsid w:val="00A00004"/>
    <w:rsid w:val="00A00854"/>
    <w:rsid w:val="00A00FDE"/>
    <w:rsid w:val="00A0112C"/>
    <w:rsid w:val="00A017B1"/>
    <w:rsid w:val="00A02543"/>
    <w:rsid w:val="00A028DA"/>
    <w:rsid w:val="00A02AED"/>
    <w:rsid w:val="00A03B7C"/>
    <w:rsid w:val="00A040A6"/>
    <w:rsid w:val="00A04310"/>
    <w:rsid w:val="00A05AC8"/>
    <w:rsid w:val="00A0603C"/>
    <w:rsid w:val="00A06F36"/>
    <w:rsid w:val="00A07A7A"/>
    <w:rsid w:val="00A11D62"/>
    <w:rsid w:val="00A12AC3"/>
    <w:rsid w:val="00A13170"/>
    <w:rsid w:val="00A13C3B"/>
    <w:rsid w:val="00A14263"/>
    <w:rsid w:val="00A1456C"/>
    <w:rsid w:val="00A15F15"/>
    <w:rsid w:val="00A15FC6"/>
    <w:rsid w:val="00A16D7C"/>
    <w:rsid w:val="00A20179"/>
    <w:rsid w:val="00A205C2"/>
    <w:rsid w:val="00A205DD"/>
    <w:rsid w:val="00A2070C"/>
    <w:rsid w:val="00A2073C"/>
    <w:rsid w:val="00A209F6"/>
    <w:rsid w:val="00A20CD8"/>
    <w:rsid w:val="00A21C98"/>
    <w:rsid w:val="00A22433"/>
    <w:rsid w:val="00A229E6"/>
    <w:rsid w:val="00A2395B"/>
    <w:rsid w:val="00A23AB0"/>
    <w:rsid w:val="00A23AC5"/>
    <w:rsid w:val="00A23F40"/>
    <w:rsid w:val="00A24AD9"/>
    <w:rsid w:val="00A24C17"/>
    <w:rsid w:val="00A24DD8"/>
    <w:rsid w:val="00A255B0"/>
    <w:rsid w:val="00A26377"/>
    <w:rsid w:val="00A26912"/>
    <w:rsid w:val="00A27001"/>
    <w:rsid w:val="00A27861"/>
    <w:rsid w:val="00A31BB7"/>
    <w:rsid w:val="00A31CB7"/>
    <w:rsid w:val="00A31EA1"/>
    <w:rsid w:val="00A325DB"/>
    <w:rsid w:val="00A33069"/>
    <w:rsid w:val="00A331EB"/>
    <w:rsid w:val="00A34E34"/>
    <w:rsid w:val="00A351BA"/>
    <w:rsid w:val="00A364FD"/>
    <w:rsid w:val="00A36BF5"/>
    <w:rsid w:val="00A36E2B"/>
    <w:rsid w:val="00A37093"/>
    <w:rsid w:val="00A377AE"/>
    <w:rsid w:val="00A4054E"/>
    <w:rsid w:val="00A427F0"/>
    <w:rsid w:val="00A44550"/>
    <w:rsid w:val="00A44D22"/>
    <w:rsid w:val="00A4576E"/>
    <w:rsid w:val="00A45D9D"/>
    <w:rsid w:val="00A469D3"/>
    <w:rsid w:val="00A47A9A"/>
    <w:rsid w:val="00A5017C"/>
    <w:rsid w:val="00A502D4"/>
    <w:rsid w:val="00A50D08"/>
    <w:rsid w:val="00A526D3"/>
    <w:rsid w:val="00A52983"/>
    <w:rsid w:val="00A52BD2"/>
    <w:rsid w:val="00A53A08"/>
    <w:rsid w:val="00A54157"/>
    <w:rsid w:val="00A541D4"/>
    <w:rsid w:val="00A544AC"/>
    <w:rsid w:val="00A54649"/>
    <w:rsid w:val="00A54C05"/>
    <w:rsid w:val="00A54CC6"/>
    <w:rsid w:val="00A55322"/>
    <w:rsid w:val="00A555B9"/>
    <w:rsid w:val="00A55746"/>
    <w:rsid w:val="00A5624D"/>
    <w:rsid w:val="00A56541"/>
    <w:rsid w:val="00A57262"/>
    <w:rsid w:val="00A60572"/>
    <w:rsid w:val="00A60696"/>
    <w:rsid w:val="00A61BF9"/>
    <w:rsid w:val="00A61D44"/>
    <w:rsid w:val="00A63310"/>
    <w:rsid w:val="00A64493"/>
    <w:rsid w:val="00A646EC"/>
    <w:rsid w:val="00A64919"/>
    <w:rsid w:val="00A64B1E"/>
    <w:rsid w:val="00A65CDD"/>
    <w:rsid w:val="00A65E52"/>
    <w:rsid w:val="00A66E85"/>
    <w:rsid w:val="00A67635"/>
    <w:rsid w:val="00A67DBD"/>
    <w:rsid w:val="00A67F26"/>
    <w:rsid w:val="00A705E5"/>
    <w:rsid w:val="00A70EED"/>
    <w:rsid w:val="00A71205"/>
    <w:rsid w:val="00A71222"/>
    <w:rsid w:val="00A712F9"/>
    <w:rsid w:val="00A714CE"/>
    <w:rsid w:val="00A71966"/>
    <w:rsid w:val="00A71C4A"/>
    <w:rsid w:val="00A71D38"/>
    <w:rsid w:val="00A722C1"/>
    <w:rsid w:val="00A7238B"/>
    <w:rsid w:val="00A72EAB"/>
    <w:rsid w:val="00A7307E"/>
    <w:rsid w:val="00A7341B"/>
    <w:rsid w:val="00A73461"/>
    <w:rsid w:val="00A735CA"/>
    <w:rsid w:val="00A73C15"/>
    <w:rsid w:val="00A73DE1"/>
    <w:rsid w:val="00A7418F"/>
    <w:rsid w:val="00A74F2E"/>
    <w:rsid w:val="00A76AF5"/>
    <w:rsid w:val="00A7745D"/>
    <w:rsid w:val="00A80CE9"/>
    <w:rsid w:val="00A813B2"/>
    <w:rsid w:val="00A8189E"/>
    <w:rsid w:val="00A81A3A"/>
    <w:rsid w:val="00A81E7B"/>
    <w:rsid w:val="00A81EED"/>
    <w:rsid w:val="00A82495"/>
    <w:rsid w:val="00A846DE"/>
    <w:rsid w:val="00A84959"/>
    <w:rsid w:val="00A84CAD"/>
    <w:rsid w:val="00A85157"/>
    <w:rsid w:val="00A853CE"/>
    <w:rsid w:val="00A87173"/>
    <w:rsid w:val="00A879AA"/>
    <w:rsid w:val="00A90323"/>
    <w:rsid w:val="00A90EDA"/>
    <w:rsid w:val="00A91B4B"/>
    <w:rsid w:val="00A9274C"/>
    <w:rsid w:val="00A9314C"/>
    <w:rsid w:val="00A93267"/>
    <w:rsid w:val="00A9411B"/>
    <w:rsid w:val="00A94315"/>
    <w:rsid w:val="00A94803"/>
    <w:rsid w:val="00A94FF8"/>
    <w:rsid w:val="00A9512F"/>
    <w:rsid w:val="00A96827"/>
    <w:rsid w:val="00AA0056"/>
    <w:rsid w:val="00AA2514"/>
    <w:rsid w:val="00AA3AE4"/>
    <w:rsid w:val="00AA423B"/>
    <w:rsid w:val="00AA4429"/>
    <w:rsid w:val="00AA4541"/>
    <w:rsid w:val="00AA45CF"/>
    <w:rsid w:val="00AA4871"/>
    <w:rsid w:val="00AA4B2C"/>
    <w:rsid w:val="00AA4C20"/>
    <w:rsid w:val="00AA561D"/>
    <w:rsid w:val="00AA60BC"/>
    <w:rsid w:val="00AA6171"/>
    <w:rsid w:val="00AA6E02"/>
    <w:rsid w:val="00AA7900"/>
    <w:rsid w:val="00AA7FDE"/>
    <w:rsid w:val="00AB0DDC"/>
    <w:rsid w:val="00AB1459"/>
    <w:rsid w:val="00AB1C3A"/>
    <w:rsid w:val="00AB2EFB"/>
    <w:rsid w:val="00AB3D4B"/>
    <w:rsid w:val="00AB4758"/>
    <w:rsid w:val="00AB500F"/>
    <w:rsid w:val="00AB50E2"/>
    <w:rsid w:val="00AB5418"/>
    <w:rsid w:val="00AB6113"/>
    <w:rsid w:val="00AB6AF3"/>
    <w:rsid w:val="00AB7190"/>
    <w:rsid w:val="00AC0235"/>
    <w:rsid w:val="00AC09DD"/>
    <w:rsid w:val="00AC0D5F"/>
    <w:rsid w:val="00AC1B50"/>
    <w:rsid w:val="00AC1B53"/>
    <w:rsid w:val="00AC1F68"/>
    <w:rsid w:val="00AC2A57"/>
    <w:rsid w:val="00AC2FA9"/>
    <w:rsid w:val="00AC3285"/>
    <w:rsid w:val="00AC3728"/>
    <w:rsid w:val="00AC3840"/>
    <w:rsid w:val="00AC45AD"/>
    <w:rsid w:val="00AC4FC4"/>
    <w:rsid w:val="00AC554F"/>
    <w:rsid w:val="00AC591C"/>
    <w:rsid w:val="00AC62B6"/>
    <w:rsid w:val="00AC681E"/>
    <w:rsid w:val="00AC69E2"/>
    <w:rsid w:val="00AC6AF5"/>
    <w:rsid w:val="00AC77D4"/>
    <w:rsid w:val="00AD0F66"/>
    <w:rsid w:val="00AD14D1"/>
    <w:rsid w:val="00AD16FB"/>
    <w:rsid w:val="00AD1DAC"/>
    <w:rsid w:val="00AD289E"/>
    <w:rsid w:val="00AD2A8E"/>
    <w:rsid w:val="00AD2ACA"/>
    <w:rsid w:val="00AD3BD8"/>
    <w:rsid w:val="00AD3D8D"/>
    <w:rsid w:val="00AD4234"/>
    <w:rsid w:val="00AD46F1"/>
    <w:rsid w:val="00AD5AAA"/>
    <w:rsid w:val="00AD61AC"/>
    <w:rsid w:val="00AD663C"/>
    <w:rsid w:val="00AD7068"/>
    <w:rsid w:val="00AD7890"/>
    <w:rsid w:val="00AD79A4"/>
    <w:rsid w:val="00AE0925"/>
    <w:rsid w:val="00AE132A"/>
    <w:rsid w:val="00AE15FA"/>
    <w:rsid w:val="00AE1F05"/>
    <w:rsid w:val="00AE23F7"/>
    <w:rsid w:val="00AE2C4A"/>
    <w:rsid w:val="00AE2FF8"/>
    <w:rsid w:val="00AE3781"/>
    <w:rsid w:val="00AE3860"/>
    <w:rsid w:val="00AE39E7"/>
    <w:rsid w:val="00AE4EAF"/>
    <w:rsid w:val="00AE5700"/>
    <w:rsid w:val="00AE5D0F"/>
    <w:rsid w:val="00AE701B"/>
    <w:rsid w:val="00AE7042"/>
    <w:rsid w:val="00AE756D"/>
    <w:rsid w:val="00AF0CA4"/>
    <w:rsid w:val="00AF38BA"/>
    <w:rsid w:val="00AF3D6E"/>
    <w:rsid w:val="00AF4026"/>
    <w:rsid w:val="00AF4239"/>
    <w:rsid w:val="00AF6967"/>
    <w:rsid w:val="00AF6AD8"/>
    <w:rsid w:val="00AF7515"/>
    <w:rsid w:val="00AF7E5B"/>
    <w:rsid w:val="00B00CAF"/>
    <w:rsid w:val="00B01520"/>
    <w:rsid w:val="00B02859"/>
    <w:rsid w:val="00B028D6"/>
    <w:rsid w:val="00B030BC"/>
    <w:rsid w:val="00B04632"/>
    <w:rsid w:val="00B04BDE"/>
    <w:rsid w:val="00B05323"/>
    <w:rsid w:val="00B06398"/>
    <w:rsid w:val="00B06B1C"/>
    <w:rsid w:val="00B079C3"/>
    <w:rsid w:val="00B100AD"/>
    <w:rsid w:val="00B104F3"/>
    <w:rsid w:val="00B10736"/>
    <w:rsid w:val="00B112EA"/>
    <w:rsid w:val="00B13585"/>
    <w:rsid w:val="00B14C98"/>
    <w:rsid w:val="00B162AA"/>
    <w:rsid w:val="00B163EA"/>
    <w:rsid w:val="00B169F5"/>
    <w:rsid w:val="00B16B38"/>
    <w:rsid w:val="00B16BDA"/>
    <w:rsid w:val="00B16D70"/>
    <w:rsid w:val="00B2010A"/>
    <w:rsid w:val="00B20301"/>
    <w:rsid w:val="00B2156D"/>
    <w:rsid w:val="00B2225D"/>
    <w:rsid w:val="00B23467"/>
    <w:rsid w:val="00B2353C"/>
    <w:rsid w:val="00B23D09"/>
    <w:rsid w:val="00B23D70"/>
    <w:rsid w:val="00B23EA0"/>
    <w:rsid w:val="00B24053"/>
    <w:rsid w:val="00B241A0"/>
    <w:rsid w:val="00B243A2"/>
    <w:rsid w:val="00B245D6"/>
    <w:rsid w:val="00B24654"/>
    <w:rsid w:val="00B24B02"/>
    <w:rsid w:val="00B24DDC"/>
    <w:rsid w:val="00B25DAC"/>
    <w:rsid w:val="00B25FB7"/>
    <w:rsid w:val="00B2635B"/>
    <w:rsid w:val="00B26E65"/>
    <w:rsid w:val="00B26FF2"/>
    <w:rsid w:val="00B27585"/>
    <w:rsid w:val="00B30205"/>
    <w:rsid w:val="00B30D29"/>
    <w:rsid w:val="00B30FF4"/>
    <w:rsid w:val="00B31CFD"/>
    <w:rsid w:val="00B31EFE"/>
    <w:rsid w:val="00B3214B"/>
    <w:rsid w:val="00B32637"/>
    <w:rsid w:val="00B32702"/>
    <w:rsid w:val="00B32A9D"/>
    <w:rsid w:val="00B32E08"/>
    <w:rsid w:val="00B32E67"/>
    <w:rsid w:val="00B32EC4"/>
    <w:rsid w:val="00B33784"/>
    <w:rsid w:val="00B33B3E"/>
    <w:rsid w:val="00B33B80"/>
    <w:rsid w:val="00B33EAD"/>
    <w:rsid w:val="00B33EB1"/>
    <w:rsid w:val="00B34F40"/>
    <w:rsid w:val="00B375D9"/>
    <w:rsid w:val="00B40724"/>
    <w:rsid w:val="00B40D7B"/>
    <w:rsid w:val="00B40DAA"/>
    <w:rsid w:val="00B40DFF"/>
    <w:rsid w:val="00B41660"/>
    <w:rsid w:val="00B417F1"/>
    <w:rsid w:val="00B4234A"/>
    <w:rsid w:val="00B425A7"/>
    <w:rsid w:val="00B42940"/>
    <w:rsid w:val="00B44EF8"/>
    <w:rsid w:val="00B46E42"/>
    <w:rsid w:val="00B500EB"/>
    <w:rsid w:val="00B50D00"/>
    <w:rsid w:val="00B52038"/>
    <w:rsid w:val="00B523BF"/>
    <w:rsid w:val="00B526E6"/>
    <w:rsid w:val="00B529A1"/>
    <w:rsid w:val="00B53F88"/>
    <w:rsid w:val="00B541A9"/>
    <w:rsid w:val="00B54314"/>
    <w:rsid w:val="00B54ADB"/>
    <w:rsid w:val="00B54CBE"/>
    <w:rsid w:val="00B54EC1"/>
    <w:rsid w:val="00B54F74"/>
    <w:rsid w:val="00B55BC2"/>
    <w:rsid w:val="00B56F61"/>
    <w:rsid w:val="00B61FCB"/>
    <w:rsid w:val="00B629D2"/>
    <w:rsid w:val="00B64362"/>
    <w:rsid w:val="00B64F3B"/>
    <w:rsid w:val="00B65399"/>
    <w:rsid w:val="00B65854"/>
    <w:rsid w:val="00B66044"/>
    <w:rsid w:val="00B66BFC"/>
    <w:rsid w:val="00B66F27"/>
    <w:rsid w:val="00B707B5"/>
    <w:rsid w:val="00B70902"/>
    <w:rsid w:val="00B7154E"/>
    <w:rsid w:val="00B7155E"/>
    <w:rsid w:val="00B7218F"/>
    <w:rsid w:val="00B72558"/>
    <w:rsid w:val="00B7281B"/>
    <w:rsid w:val="00B7345C"/>
    <w:rsid w:val="00B7490B"/>
    <w:rsid w:val="00B74E03"/>
    <w:rsid w:val="00B74FB4"/>
    <w:rsid w:val="00B750E2"/>
    <w:rsid w:val="00B762B1"/>
    <w:rsid w:val="00B76343"/>
    <w:rsid w:val="00B7788F"/>
    <w:rsid w:val="00B77CB6"/>
    <w:rsid w:val="00B77F2A"/>
    <w:rsid w:val="00B80177"/>
    <w:rsid w:val="00B80276"/>
    <w:rsid w:val="00B806D0"/>
    <w:rsid w:val="00B809C6"/>
    <w:rsid w:val="00B81568"/>
    <w:rsid w:val="00B8221A"/>
    <w:rsid w:val="00B825B7"/>
    <w:rsid w:val="00B82AD5"/>
    <w:rsid w:val="00B82F08"/>
    <w:rsid w:val="00B83B15"/>
    <w:rsid w:val="00B83C7C"/>
    <w:rsid w:val="00B83D04"/>
    <w:rsid w:val="00B83D4D"/>
    <w:rsid w:val="00B83E7B"/>
    <w:rsid w:val="00B84112"/>
    <w:rsid w:val="00B84614"/>
    <w:rsid w:val="00B851E4"/>
    <w:rsid w:val="00B8593F"/>
    <w:rsid w:val="00B85D65"/>
    <w:rsid w:val="00B86935"/>
    <w:rsid w:val="00B871BB"/>
    <w:rsid w:val="00B8722E"/>
    <w:rsid w:val="00B87263"/>
    <w:rsid w:val="00B87450"/>
    <w:rsid w:val="00B87CB6"/>
    <w:rsid w:val="00B87F88"/>
    <w:rsid w:val="00B90F01"/>
    <w:rsid w:val="00B91291"/>
    <w:rsid w:val="00B91839"/>
    <w:rsid w:val="00B91BB2"/>
    <w:rsid w:val="00B92158"/>
    <w:rsid w:val="00B92607"/>
    <w:rsid w:val="00B928C0"/>
    <w:rsid w:val="00B92B16"/>
    <w:rsid w:val="00B92E65"/>
    <w:rsid w:val="00B92F82"/>
    <w:rsid w:val="00B93F11"/>
    <w:rsid w:val="00B96C77"/>
    <w:rsid w:val="00B9704E"/>
    <w:rsid w:val="00BA0382"/>
    <w:rsid w:val="00BA0474"/>
    <w:rsid w:val="00BA094E"/>
    <w:rsid w:val="00BA12AD"/>
    <w:rsid w:val="00BA12BB"/>
    <w:rsid w:val="00BA175A"/>
    <w:rsid w:val="00BA17FD"/>
    <w:rsid w:val="00BA2447"/>
    <w:rsid w:val="00BA2898"/>
    <w:rsid w:val="00BA2F8B"/>
    <w:rsid w:val="00BA3A16"/>
    <w:rsid w:val="00BA3BB3"/>
    <w:rsid w:val="00BA4A25"/>
    <w:rsid w:val="00BA4E56"/>
    <w:rsid w:val="00BA4F35"/>
    <w:rsid w:val="00BA5590"/>
    <w:rsid w:val="00BA5A21"/>
    <w:rsid w:val="00BA711A"/>
    <w:rsid w:val="00BA7466"/>
    <w:rsid w:val="00BA7988"/>
    <w:rsid w:val="00BB02AA"/>
    <w:rsid w:val="00BB0347"/>
    <w:rsid w:val="00BB06DD"/>
    <w:rsid w:val="00BB0EFF"/>
    <w:rsid w:val="00BB130E"/>
    <w:rsid w:val="00BB184C"/>
    <w:rsid w:val="00BB1EB2"/>
    <w:rsid w:val="00BB36F2"/>
    <w:rsid w:val="00BB430D"/>
    <w:rsid w:val="00BB5B63"/>
    <w:rsid w:val="00BB6903"/>
    <w:rsid w:val="00BB7F6E"/>
    <w:rsid w:val="00BC04BB"/>
    <w:rsid w:val="00BC0BAD"/>
    <w:rsid w:val="00BC1630"/>
    <w:rsid w:val="00BC1DAC"/>
    <w:rsid w:val="00BC2CCD"/>
    <w:rsid w:val="00BC3ACF"/>
    <w:rsid w:val="00BC58FE"/>
    <w:rsid w:val="00BC5B31"/>
    <w:rsid w:val="00BC6BD3"/>
    <w:rsid w:val="00BC73E5"/>
    <w:rsid w:val="00BC757D"/>
    <w:rsid w:val="00BD0499"/>
    <w:rsid w:val="00BD1014"/>
    <w:rsid w:val="00BD25E3"/>
    <w:rsid w:val="00BD3200"/>
    <w:rsid w:val="00BD3281"/>
    <w:rsid w:val="00BD32B9"/>
    <w:rsid w:val="00BD35A8"/>
    <w:rsid w:val="00BD3859"/>
    <w:rsid w:val="00BD3A9F"/>
    <w:rsid w:val="00BD3E29"/>
    <w:rsid w:val="00BD4D72"/>
    <w:rsid w:val="00BD5A40"/>
    <w:rsid w:val="00BD5EF5"/>
    <w:rsid w:val="00BD6228"/>
    <w:rsid w:val="00BD7081"/>
    <w:rsid w:val="00BD74A0"/>
    <w:rsid w:val="00BD75D8"/>
    <w:rsid w:val="00BE071C"/>
    <w:rsid w:val="00BE0732"/>
    <w:rsid w:val="00BE17B7"/>
    <w:rsid w:val="00BE23E3"/>
    <w:rsid w:val="00BE2C48"/>
    <w:rsid w:val="00BE2F6A"/>
    <w:rsid w:val="00BE3702"/>
    <w:rsid w:val="00BE45AE"/>
    <w:rsid w:val="00BE63EB"/>
    <w:rsid w:val="00BE65CF"/>
    <w:rsid w:val="00BF00D4"/>
    <w:rsid w:val="00BF0267"/>
    <w:rsid w:val="00BF046C"/>
    <w:rsid w:val="00BF0919"/>
    <w:rsid w:val="00BF0977"/>
    <w:rsid w:val="00BF1110"/>
    <w:rsid w:val="00BF1114"/>
    <w:rsid w:val="00BF21C1"/>
    <w:rsid w:val="00BF2292"/>
    <w:rsid w:val="00BF257F"/>
    <w:rsid w:val="00BF2BFC"/>
    <w:rsid w:val="00BF349F"/>
    <w:rsid w:val="00BF38B9"/>
    <w:rsid w:val="00BF3ED0"/>
    <w:rsid w:val="00BF4D22"/>
    <w:rsid w:val="00BF4ED5"/>
    <w:rsid w:val="00BF563C"/>
    <w:rsid w:val="00BF582F"/>
    <w:rsid w:val="00BF59D7"/>
    <w:rsid w:val="00BF6D60"/>
    <w:rsid w:val="00BF6FCA"/>
    <w:rsid w:val="00C00C94"/>
    <w:rsid w:val="00C01062"/>
    <w:rsid w:val="00C01222"/>
    <w:rsid w:val="00C0216A"/>
    <w:rsid w:val="00C02627"/>
    <w:rsid w:val="00C03AC2"/>
    <w:rsid w:val="00C03DE9"/>
    <w:rsid w:val="00C04FA4"/>
    <w:rsid w:val="00C0778D"/>
    <w:rsid w:val="00C07B69"/>
    <w:rsid w:val="00C07BFB"/>
    <w:rsid w:val="00C10210"/>
    <w:rsid w:val="00C10312"/>
    <w:rsid w:val="00C10821"/>
    <w:rsid w:val="00C109AE"/>
    <w:rsid w:val="00C10DC9"/>
    <w:rsid w:val="00C12A67"/>
    <w:rsid w:val="00C12D73"/>
    <w:rsid w:val="00C137E5"/>
    <w:rsid w:val="00C14628"/>
    <w:rsid w:val="00C1655A"/>
    <w:rsid w:val="00C17115"/>
    <w:rsid w:val="00C1737D"/>
    <w:rsid w:val="00C2037A"/>
    <w:rsid w:val="00C2081F"/>
    <w:rsid w:val="00C2187B"/>
    <w:rsid w:val="00C21A25"/>
    <w:rsid w:val="00C22CC3"/>
    <w:rsid w:val="00C230E0"/>
    <w:rsid w:val="00C240DB"/>
    <w:rsid w:val="00C25C0D"/>
    <w:rsid w:val="00C267A6"/>
    <w:rsid w:val="00C267BB"/>
    <w:rsid w:val="00C26811"/>
    <w:rsid w:val="00C26D62"/>
    <w:rsid w:val="00C270CB"/>
    <w:rsid w:val="00C271C2"/>
    <w:rsid w:val="00C274A0"/>
    <w:rsid w:val="00C27A91"/>
    <w:rsid w:val="00C31095"/>
    <w:rsid w:val="00C32431"/>
    <w:rsid w:val="00C32B73"/>
    <w:rsid w:val="00C3315E"/>
    <w:rsid w:val="00C336F8"/>
    <w:rsid w:val="00C345B4"/>
    <w:rsid w:val="00C3499E"/>
    <w:rsid w:val="00C34D81"/>
    <w:rsid w:val="00C36163"/>
    <w:rsid w:val="00C3620C"/>
    <w:rsid w:val="00C36735"/>
    <w:rsid w:val="00C37A5C"/>
    <w:rsid w:val="00C37DAA"/>
    <w:rsid w:val="00C40037"/>
    <w:rsid w:val="00C401C8"/>
    <w:rsid w:val="00C40C5E"/>
    <w:rsid w:val="00C40F1B"/>
    <w:rsid w:val="00C40F93"/>
    <w:rsid w:val="00C41AA8"/>
    <w:rsid w:val="00C423AA"/>
    <w:rsid w:val="00C42F67"/>
    <w:rsid w:val="00C4424D"/>
    <w:rsid w:val="00C460F7"/>
    <w:rsid w:val="00C46C7B"/>
    <w:rsid w:val="00C46FDC"/>
    <w:rsid w:val="00C47471"/>
    <w:rsid w:val="00C4762C"/>
    <w:rsid w:val="00C50258"/>
    <w:rsid w:val="00C5042C"/>
    <w:rsid w:val="00C51886"/>
    <w:rsid w:val="00C518AD"/>
    <w:rsid w:val="00C519F1"/>
    <w:rsid w:val="00C51EA0"/>
    <w:rsid w:val="00C52244"/>
    <w:rsid w:val="00C52326"/>
    <w:rsid w:val="00C53C26"/>
    <w:rsid w:val="00C54287"/>
    <w:rsid w:val="00C54620"/>
    <w:rsid w:val="00C557DE"/>
    <w:rsid w:val="00C56F84"/>
    <w:rsid w:val="00C57087"/>
    <w:rsid w:val="00C57362"/>
    <w:rsid w:val="00C57634"/>
    <w:rsid w:val="00C57698"/>
    <w:rsid w:val="00C57713"/>
    <w:rsid w:val="00C603BF"/>
    <w:rsid w:val="00C60FD7"/>
    <w:rsid w:val="00C61716"/>
    <w:rsid w:val="00C61A8F"/>
    <w:rsid w:val="00C62610"/>
    <w:rsid w:val="00C62822"/>
    <w:rsid w:val="00C62C4F"/>
    <w:rsid w:val="00C62CF6"/>
    <w:rsid w:val="00C63F7C"/>
    <w:rsid w:val="00C642C4"/>
    <w:rsid w:val="00C64363"/>
    <w:rsid w:val="00C64CCB"/>
    <w:rsid w:val="00C65586"/>
    <w:rsid w:val="00C6570D"/>
    <w:rsid w:val="00C6578D"/>
    <w:rsid w:val="00C65D87"/>
    <w:rsid w:val="00C66183"/>
    <w:rsid w:val="00C672BE"/>
    <w:rsid w:val="00C67730"/>
    <w:rsid w:val="00C67B99"/>
    <w:rsid w:val="00C67DB3"/>
    <w:rsid w:val="00C708D4"/>
    <w:rsid w:val="00C72A7F"/>
    <w:rsid w:val="00C7310A"/>
    <w:rsid w:val="00C74546"/>
    <w:rsid w:val="00C75679"/>
    <w:rsid w:val="00C757ED"/>
    <w:rsid w:val="00C76309"/>
    <w:rsid w:val="00C769E4"/>
    <w:rsid w:val="00C810A8"/>
    <w:rsid w:val="00C812FB"/>
    <w:rsid w:val="00C827F8"/>
    <w:rsid w:val="00C8315B"/>
    <w:rsid w:val="00C8417B"/>
    <w:rsid w:val="00C8494F"/>
    <w:rsid w:val="00C84C5E"/>
    <w:rsid w:val="00C84EA2"/>
    <w:rsid w:val="00C864DE"/>
    <w:rsid w:val="00C87161"/>
    <w:rsid w:val="00C90FF9"/>
    <w:rsid w:val="00C91E9D"/>
    <w:rsid w:val="00C921B6"/>
    <w:rsid w:val="00C93027"/>
    <w:rsid w:val="00C9354A"/>
    <w:rsid w:val="00C93D42"/>
    <w:rsid w:val="00C93E70"/>
    <w:rsid w:val="00C9475F"/>
    <w:rsid w:val="00C94FA5"/>
    <w:rsid w:val="00C964C6"/>
    <w:rsid w:val="00C9731B"/>
    <w:rsid w:val="00C97AB8"/>
    <w:rsid w:val="00CA138D"/>
    <w:rsid w:val="00CA1B57"/>
    <w:rsid w:val="00CA1D72"/>
    <w:rsid w:val="00CA1E87"/>
    <w:rsid w:val="00CA289A"/>
    <w:rsid w:val="00CA33EE"/>
    <w:rsid w:val="00CA5B99"/>
    <w:rsid w:val="00CA6C11"/>
    <w:rsid w:val="00CA745B"/>
    <w:rsid w:val="00CA7734"/>
    <w:rsid w:val="00CA7A8C"/>
    <w:rsid w:val="00CB0B75"/>
    <w:rsid w:val="00CB10EE"/>
    <w:rsid w:val="00CB2554"/>
    <w:rsid w:val="00CB25E4"/>
    <w:rsid w:val="00CB2A6E"/>
    <w:rsid w:val="00CB2CA5"/>
    <w:rsid w:val="00CB381F"/>
    <w:rsid w:val="00CB3DE9"/>
    <w:rsid w:val="00CB41D4"/>
    <w:rsid w:val="00CB4800"/>
    <w:rsid w:val="00CB59FA"/>
    <w:rsid w:val="00CB5F8E"/>
    <w:rsid w:val="00CB6869"/>
    <w:rsid w:val="00CB7F27"/>
    <w:rsid w:val="00CC14DF"/>
    <w:rsid w:val="00CC1C36"/>
    <w:rsid w:val="00CC1CEA"/>
    <w:rsid w:val="00CC2BD3"/>
    <w:rsid w:val="00CC3030"/>
    <w:rsid w:val="00CC370F"/>
    <w:rsid w:val="00CC5FF8"/>
    <w:rsid w:val="00CC6E05"/>
    <w:rsid w:val="00CC7F1D"/>
    <w:rsid w:val="00CD00B2"/>
    <w:rsid w:val="00CD00B6"/>
    <w:rsid w:val="00CD1351"/>
    <w:rsid w:val="00CD32FF"/>
    <w:rsid w:val="00CD3455"/>
    <w:rsid w:val="00CD3B66"/>
    <w:rsid w:val="00CD3EDA"/>
    <w:rsid w:val="00CD4044"/>
    <w:rsid w:val="00CD6E33"/>
    <w:rsid w:val="00CD6F96"/>
    <w:rsid w:val="00CD7A37"/>
    <w:rsid w:val="00CE18B7"/>
    <w:rsid w:val="00CE1997"/>
    <w:rsid w:val="00CE1B05"/>
    <w:rsid w:val="00CE2066"/>
    <w:rsid w:val="00CE21B4"/>
    <w:rsid w:val="00CE2467"/>
    <w:rsid w:val="00CE24E9"/>
    <w:rsid w:val="00CE25E3"/>
    <w:rsid w:val="00CE3145"/>
    <w:rsid w:val="00CE39E3"/>
    <w:rsid w:val="00CE4087"/>
    <w:rsid w:val="00CE40F6"/>
    <w:rsid w:val="00CE482C"/>
    <w:rsid w:val="00CE5161"/>
    <w:rsid w:val="00CE535E"/>
    <w:rsid w:val="00CE5525"/>
    <w:rsid w:val="00CE55A4"/>
    <w:rsid w:val="00CE6059"/>
    <w:rsid w:val="00CE60DA"/>
    <w:rsid w:val="00CE6A87"/>
    <w:rsid w:val="00CE724B"/>
    <w:rsid w:val="00CF05CF"/>
    <w:rsid w:val="00CF1634"/>
    <w:rsid w:val="00CF2067"/>
    <w:rsid w:val="00CF2209"/>
    <w:rsid w:val="00CF2751"/>
    <w:rsid w:val="00CF40EF"/>
    <w:rsid w:val="00CF4CAA"/>
    <w:rsid w:val="00CF4EC1"/>
    <w:rsid w:val="00CF50F3"/>
    <w:rsid w:val="00CF5766"/>
    <w:rsid w:val="00CF6071"/>
    <w:rsid w:val="00CF7B2B"/>
    <w:rsid w:val="00CF7B8B"/>
    <w:rsid w:val="00D005FF"/>
    <w:rsid w:val="00D00614"/>
    <w:rsid w:val="00D0241A"/>
    <w:rsid w:val="00D02DAD"/>
    <w:rsid w:val="00D038A2"/>
    <w:rsid w:val="00D0391E"/>
    <w:rsid w:val="00D03C93"/>
    <w:rsid w:val="00D06A68"/>
    <w:rsid w:val="00D06CDA"/>
    <w:rsid w:val="00D06EBF"/>
    <w:rsid w:val="00D12163"/>
    <w:rsid w:val="00D1270F"/>
    <w:rsid w:val="00D12CF3"/>
    <w:rsid w:val="00D12FC7"/>
    <w:rsid w:val="00D13B1B"/>
    <w:rsid w:val="00D13CD2"/>
    <w:rsid w:val="00D13FFC"/>
    <w:rsid w:val="00D140A6"/>
    <w:rsid w:val="00D147E8"/>
    <w:rsid w:val="00D15343"/>
    <w:rsid w:val="00D1546F"/>
    <w:rsid w:val="00D1589A"/>
    <w:rsid w:val="00D15978"/>
    <w:rsid w:val="00D16FA6"/>
    <w:rsid w:val="00D1708D"/>
    <w:rsid w:val="00D1731E"/>
    <w:rsid w:val="00D17CD7"/>
    <w:rsid w:val="00D20157"/>
    <w:rsid w:val="00D2142C"/>
    <w:rsid w:val="00D21CFC"/>
    <w:rsid w:val="00D21F44"/>
    <w:rsid w:val="00D22F04"/>
    <w:rsid w:val="00D23172"/>
    <w:rsid w:val="00D254A1"/>
    <w:rsid w:val="00D2724D"/>
    <w:rsid w:val="00D277DF"/>
    <w:rsid w:val="00D2784B"/>
    <w:rsid w:val="00D27936"/>
    <w:rsid w:val="00D319FB"/>
    <w:rsid w:val="00D328F9"/>
    <w:rsid w:val="00D32ECB"/>
    <w:rsid w:val="00D331F4"/>
    <w:rsid w:val="00D34068"/>
    <w:rsid w:val="00D341DA"/>
    <w:rsid w:val="00D34254"/>
    <w:rsid w:val="00D35A64"/>
    <w:rsid w:val="00D36623"/>
    <w:rsid w:val="00D36827"/>
    <w:rsid w:val="00D36B27"/>
    <w:rsid w:val="00D374ED"/>
    <w:rsid w:val="00D40031"/>
    <w:rsid w:val="00D40897"/>
    <w:rsid w:val="00D410C3"/>
    <w:rsid w:val="00D4193D"/>
    <w:rsid w:val="00D419DD"/>
    <w:rsid w:val="00D422E3"/>
    <w:rsid w:val="00D424FE"/>
    <w:rsid w:val="00D429E6"/>
    <w:rsid w:val="00D42EEB"/>
    <w:rsid w:val="00D4335B"/>
    <w:rsid w:val="00D44C13"/>
    <w:rsid w:val="00D4535B"/>
    <w:rsid w:val="00D45CB8"/>
    <w:rsid w:val="00D468F7"/>
    <w:rsid w:val="00D4699F"/>
    <w:rsid w:val="00D47FBF"/>
    <w:rsid w:val="00D5035A"/>
    <w:rsid w:val="00D5069D"/>
    <w:rsid w:val="00D508EC"/>
    <w:rsid w:val="00D509B7"/>
    <w:rsid w:val="00D50B90"/>
    <w:rsid w:val="00D510C7"/>
    <w:rsid w:val="00D5149D"/>
    <w:rsid w:val="00D5186B"/>
    <w:rsid w:val="00D536B6"/>
    <w:rsid w:val="00D53B5A"/>
    <w:rsid w:val="00D53F7A"/>
    <w:rsid w:val="00D542D5"/>
    <w:rsid w:val="00D54311"/>
    <w:rsid w:val="00D54D96"/>
    <w:rsid w:val="00D5590B"/>
    <w:rsid w:val="00D55EC5"/>
    <w:rsid w:val="00D5664B"/>
    <w:rsid w:val="00D571EB"/>
    <w:rsid w:val="00D574CF"/>
    <w:rsid w:val="00D57DCF"/>
    <w:rsid w:val="00D57ECC"/>
    <w:rsid w:val="00D60B78"/>
    <w:rsid w:val="00D60C00"/>
    <w:rsid w:val="00D6146D"/>
    <w:rsid w:val="00D62DA9"/>
    <w:rsid w:val="00D639DF"/>
    <w:rsid w:val="00D64991"/>
    <w:rsid w:val="00D64B5E"/>
    <w:rsid w:val="00D64FDB"/>
    <w:rsid w:val="00D65041"/>
    <w:rsid w:val="00D66450"/>
    <w:rsid w:val="00D678C7"/>
    <w:rsid w:val="00D70162"/>
    <w:rsid w:val="00D709A0"/>
    <w:rsid w:val="00D71176"/>
    <w:rsid w:val="00D71595"/>
    <w:rsid w:val="00D71D2C"/>
    <w:rsid w:val="00D71F1E"/>
    <w:rsid w:val="00D72259"/>
    <w:rsid w:val="00D72882"/>
    <w:rsid w:val="00D72AFE"/>
    <w:rsid w:val="00D72F7B"/>
    <w:rsid w:val="00D73447"/>
    <w:rsid w:val="00D73510"/>
    <w:rsid w:val="00D73611"/>
    <w:rsid w:val="00D73F54"/>
    <w:rsid w:val="00D7402E"/>
    <w:rsid w:val="00D742EB"/>
    <w:rsid w:val="00D74545"/>
    <w:rsid w:val="00D745A0"/>
    <w:rsid w:val="00D74DD4"/>
    <w:rsid w:val="00D75F9A"/>
    <w:rsid w:val="00D76021"/>
    <w:rsid w:val="00D7705C"/>
    <w:rsid w:val="00D77518"/>
    <w:rsid w:val="00D7772A"/>
    <w:rsid w:val="00D77746"/>
    <w:rsid w:val="00D77812"/>
    <w:rsid w:val="00D77B5E"/>
    <w:rsid w:val="00D77B72"/>
    <w:rsid w:val="00D8055E"/>
    <w:rsid w:val="00D81830"/>
    <w:rsid w:val="00D81F2F"/>
    <w:rsid w:val="00D81F8E"/>
    <w:rsid w:val="00D827A0"/>
    <w:rsid w:val="00D82FF0"/>
    <w:rsid w:val="00D835A0"/>
    <w:rsid w:val="00D84066"/>
    <w:rsid w:val="00D84386"/>
    <w:rsid w:val="00D8612F"/>
    <w:rsid w:val="00D86199"/>
    <w:rsid w:val="00D861D8"/>
    <w:rsid w:val="00D864A0"/>
    <w:rsid w:val="00D86EF8"/>
    <w:rsid w:val="00D87309"/>
    <w:rsid w:val="00D87673"/>
    <w:rsid w:val="00D87FA4"/>
    <w:rsid w:val="00D90FF0"/>
    <w:rsid w:val="00D912AE"/>
    <w:rsid w:val="00D915ED"/>
    <w:rsid w:val="00D91792"/>
    <w:rsid w:val="00D91967"/>
    <w:rsid w:val="00D92E31"/>
    <w:rsid w:val="00D93059"/>
    <w:rsid w:val="00D93434"/>
    <w:rsid w:val="00D93B35"/>
    <w:rsid w:val="00D94F1C"/>
    <w:rsid w:val="00D958E9"/>
    <w:rsid w:val="00D96150"/>
    <w:rsid w:val="00D968DC"/>
    <w:rsid w:val="00D96A1B"/>
    <w:rsid w:val="00D96F09"/>
    <w:rsid w:val="00D976C8"/>
    <w:rsid w:val="00DA06B6"/>
    <w:rsid w:val="00DA0AC7"/>
    <w:rsid w:val="00DA1365"/>
    <w:rsid w:val="00DA14DF"/>
    <w:rsid w:val="00DA17AF"/>
    <w:rsid w:val="00DA1A34"/>
    <w:rsid w:val="00DA1CA2"/>
    <w:rsid w:val="00DA23BD"/>
    <w:rsid w:val="00DA2BA6"/>
    <w:rsid w:val="00DA42A8"/>
    <w:rsid w:val="00DA4377"/>
    <w:rsid w:val="00DA492E"/>
    <w:rsid w:val="00DA4997"/>
    <w:rsid w:val="00DA5451"/>
    <w:rsid w:val="00DA553B"/>
    <w:rsid w:val="00DA5BAA"/>
    <w:rsid w:val="00DA76F6"/>
    <w:rsid w:val="00DA7C1E"/>
    <w:rsid w:val="00DB07DE"/>
    <w:rsid w:val="00DB0FA2"/>
    <w:rsid w:val="00DB1371"/>
    <w:rsid w:val="00DB1845"/>
    <w:rsid w:val="00DB1AF0"/>
    <w:rsid w:val="00DB2943"/>
    <w:rsid w:val="00DB3888"/>
    <w:rsid w:val="00DB4098"/>
    <w:rsid w:val="00DB4270"/>
    <w:rsid w:val="00DB457E"/>
    <w:rsid w:val="00DB49D7"/>
    <w:rsid w:val="00DB53FA"/>
    <w:rsid w:val="00DB6345"/>
    <w:rsid w:val="00DB6E10"/>
    <w:rsid w:val="00DB7C8E"/>
    <w:rsid w:val="00DB7E0F"/>
    <w:rsid w:val="00DC0D6C"/>
    <w:rsid w:val="00DC0D8A"/>
    <w:rsid w:val="00DC1A67"/>
    <w:rsid w:val="00DC2268"/>
    <w:rsid w:val="00DC2280"/>
    <w:rsid w:val="00DC3031"/>
    <w:rsid w:val="00DC345B"/>
    <w:rsid w:val="00DC3B66"/>
    <w:rsid w:val="00DC3EF8"/>
    <w:rsid w:val="00DC4222"/>
    <w:rsid w:val="00DC4D17"/>
    <w:rsid w:val="00DC4D65"/>
    <w:rsid w:val="00DC4F2D"/>
    <w:rsid w:val="00DC571F"/>
    <w:rsid w:val="00DC5725"/>
    <w:rsid w:val="00DC5AE2"/>
    <w:rsid w:val="00DC60AD"/>
    <w:rsid w:val="00DC673E"/>
    <w:rsid w:val="00DC6868"/>
    <w:rsid w:val="00DC6936"/>
    <w:rsid w:val="00DC6B3F"/>
    <w:rsid w:val="00DC7CC6"/>
    <w:rsid w:val="00DD0184"/>
    <w:rsid w:val="00DD0843"/>
    <w:rsid w:val="00DD0F4A"/>
    <w:rsid w:val="00DD140F"/>
    <w:rsid w:val="00DD1ED1"/>
    <w:rsid w:val="00DD2444"/>
    <w:rsid w:val="00DD3239"/>
    <w:rsid w:val="00DD36D0"/>
    <w:rsid w:val="00DD39B7"/>
    <w:rsid w:val="00DD39F6"/>
    <w:rsid w:val="00DD3A50"/>
    <w:rsid w:val="00DD4D3E"/>
    <w:rsid w:val="00DD4D8F"/>
    <w:rsid w:val="00DD5450"/>
    <w:rsid w:val="00DD5CBA"/>
    <w:rsid w:val="00DD5EB8"/>
    <w:rsid w:val="00DE1C4F"/>
    <w:rsid w:val="00DE1DDA"/>
    <w:rsid w:val="00DE246D"/>
    <w:rsid w:val="00DE26E5"/>
    <w:rsid w:val="00DE275E"/>
    <w:rsid w:val="00DE333B"/>
    <w:rsid w:val="00DE41BF"/>
    <w:rsid w:val="00DE42BE"/>
    <w:rsid w:val="00DE47AB"/>
    <w:rsid w:val="00DE4AA3"/>
    <w:rsid w:val="00DE56DA"/>
    <w:rsid w:val="00DE5B27"/>
    <w:rsid w:val="00DE6255"/>
    <w:rsid w:val="00DE6349"/>
    <w:rsid w:val="00DE68A7"/>
    <w:rsid w:val="00DE6ACA"/>
    <w:rsid w:val="00DE6D89"/>
    <w:rsid w:val="00DE74B6"/>
    <w:rsid w:val="00DE7909"/>
    <w:rsid w:val="00DE79CB"/>
    <w:rsid w:val="00DE7B4C"/>
    <w:rsid w:val="00DE7F50"/>
    <w:rsid w:val="00DF1133"/>
    <w:rsid w:val="00DF1A0D"/>
    <w:rsid w:val="00DF1F45"/>
    <w:rsid w:val="00DF28AF"/>
    <w:rsid w:val="00DF346F"/>
    <w:rsid w:val="00DF4068"/>
    <w:rsid w:val="00DF5167"/>
    <w:rsid w:val="00DF527A"/>
    <w:rsid w:val="00DF5A30"/>
    <w:rsid w:val="00DF5D1C"/>
    <w:rsid w:val="00DF6433"/>
    <w:rsid w:val="00E006E9"/>
    <w:rsid w:val="00E01182"/>
    <w:rsid w:val="00E01C92"/>
    <w:rsid w:val="00E01D7B"/>
    <w:rsid w:val="00E02556"/>
    <w:rsid w:val="00E03206"/>
    <w:rsid w:val="00E04870"/>
    <w:rsid w:val="00E05CF4"/>
    <w:rsid w:val="00E06814"/>
    <w:rsid w:val="00E06D23"/>
    <w:rsid w:val="00E0734D"/>
    <w:rsid w:val="00E077E2"/>
    <w:rsid w:val="00E07D5A"/>
    <w:rsid w:val="00E07F89"/>
    <w:rsid w:val="00E10D3A"/>
    <w:rsid w:val="00E110C5"/>
    <w:rsid w:val="00E11906"/>
    <w:rsid w:val="00E119A2"/>
    <w:rsid w:val="00E119D4"/>
    <w:rsid w:val="00E11BA6"/>
    <w:rsid w:val="00E12102"/>
    <w:rsid w:val="00E1267F"/>
    <w:rsid w:val="00E1328F"/>
    <w:rsid w:val="00E1331C"/>
    <w:rsid w:val="00E133D2"/>
    <w:rsid w:val="00E14116"/>
    <w:rsid w:val="00E1481D"/>
    <w:rsid w:val="00E14DD3"/>
    <w:rsid w:val="00E157CF"/>
    <w:rsid w:val="00E16396"/>
    <w:rsid w:val="00E1674A"/>
    <w:rsid w:val="00E16783"/>
    <w:rsid w:val="00E16931"/>
    <w:rsid w:val="00E16E9F"/>
    <w:rsid w:val="00E17BEC"/>
    <w:rsid w:val="00E20953"/>
    <w:rsid w:val="00E216AB"/>
    <w:rsid w:val="00E220EF"/>
    <w:rsid w:val="00E22636"/>
    <w:rsid w:val="00E232EB"/>
    <w:rsid w:val="00E246DF"/>
    <w:rsid w:val="00E24C2F"/>
    <w:rsid w:val="00E24E1E"/>
    <w:rsid w:val="00E255F9"/>
    <w:rsid w:val="00E25CB9"/>
    <w:rsid w:val="00E272C4"/>
    <w:rsid w:val="00E301B7"/>
    <w:rsid w:val="00E30963"/>
    <w:rsid w:val="00E30BBE"/>
    <w:rsid w:val="00E30EFC"/>
    <w:rsid w:val="00E31AFC"/>
    <w:rsid w:val="00E3292C"/>
    <w:rsid w:val="00E33272"/>
    <w:rsid w:val="00E33DD7"/>
    <w:rsid w:val="00E33FCF"/>
    <w:rsid w:val="00E343C4"/>
    <w:rsid w:val="00E34C9A"/>
    <w:rsid w:val="00E35B60"/>
    <w:rsid w:val="00E37D98"/>
    <w:rsid w:val="00E37DC1"/>
    <w:rsid w:val="00E37F63"/>
    <w:rsid w:val="00E40026"/>
    <w:rsid w:val="00E401CE"/>
    <w:rsid w:val="00E40439"/>
    <w:rsid w:val="00E40D52"/>
    <w:rsid w:val="00E418C1"/>
    <w:rsid w:val="00E422BA"/>
    <w:rsid w:val="00E42F88"/>
    <w:rsid w:val="00E433C3"/>
    <w:rsid w:val="00E43AFA"/>
    <w:rsid w:val="00E43EBA"/>
    <w:rsid w:val="00E4434C"/>
    <w:rsid w:val="00E44FA3"/>
    <w:rsid w:val="00E45315"/>
    <w:rsid w:val="00E45DF6"/>
    <w:rsid w:val="00E4605A"/>
    <w:rsid w:val="00E46753"/>
    <w:rsid w:val="00E469F8"/>
    <w:rsid w:val="00E47ABE"/>
    <w:rsid w:val="00E50395"/>
    <w:rsid w:val="00E509DB"/>
    <w:rsid w:val="00E50A81"/>
    <w:rsid w:val="00E51232"/>
    <w:rsid w:val="00E517A5"/>
    <w:rsid w:val="00E525D2"/>
    <w:rsid w:val="00E527DA"/>
    <w:rsid w:val="00E52D13"/>
    <w:rsid w:val="00E53AAD"/>
    <w:rsid w:val="00E53C17"/>
    <w:rsid w:val="00E54780"/>
    <w:rsid w:val="00E5508A"/>
    <w:rsid w:val="00E5684E"/>
    <w:rsid w:val="00E57E59"/>
    <w:rsid w:val="00E60B40"/>
    <w:rsid w:val="00E614E4"/>
    <w:rsid w:val="00E61761"/>
    <w:rsid w:val="00E61B91"/>
    <w:rsid w:val="00E61CB0"/>
    <w:rsid w:val="00E62025"/>
    <w:rsid w:val="00E63DF7"/>
    <w:rsid w:val="00E63F07"/>
    <w:rsid w:val="00E64248"/>
    <w:rsid w:val="00E6441A"/>
    <w:rsid w:val="00E64B92"/>
    <w:rsid w:val="00E64EED"/>
    <w:rsid w:val="00E65DEE"/>
    <w:rsid w:val="00E65E8C"/>
    <w:rsid w:val="00E670ED"/>
    <w:rsid w:val="00E678AE"/>
    <w:rsid w:val="00E67DD0"/>
    <w:rsid w:val="00E7077C"/>
    <w:rsid w:val="00E708DC"/>
    <w:rsid w:val="00E71A60"/>
    <w:rsid w:val="00E71B3C"/>
    <w:rsid w:val="00E71B44"/>
    <w:rsid w:val="00E71E4D"/>
    <w:rsid w:val="00E72A9D"/>
    <w:rsid w:val="00E72CEF"/>
    <w:rsid w:val="00E73200"/>
    <w:rsid w:val="00E73DB6"/>
    <w:rsid w:val="00E73ECC"/>
    <w:rsid w:val="00E743ED"/>
    <w:rsid w:val="00E74BC8"/>
    <w:rsid w:val="00E74BEC"/>
    <w:rsid w:val="00E74D16"/>
    <w:rsid w:val="00E75F12"/>
    <w:rsid w:val="00E762C8"/>
    <w:rsid w:val="00E76B45"/>
    <w:rsid w:val="00E80C77"/>
    <w:rsid w:val="00E811FC"/>
    <w:rsid w:val="00E8165B"/>
    <w:rsid w:val="00E8176C"/>
    <w:rsid w:val="00E8282D"/>
    <w:rsid w:val="00E82BD4"/>
    <w:rsid w:val="00E82C19"/>
    <w:rsid w:val="00E82F27"/>
    <w:rsid w:val="00E83610"/>
    <w:rsid w:val="00E842E6"/>
    <w:rsid w:val="00E84744"/>
    <w:rsid w:val="00E85134"/>
    <w:rsid w:val="00E857B7"/>
    <w:rsid w:val="00E85835"/>
    <w:rsid w:val="00E86B17"/>
    <w:rsid w:val="00E90ADC"/>
    <w:rsid w:val="00E90E41"/>
    <w:rsid w:val="00E9128B"/>
    <w:rsid w:val="00E91E3F"/>
    <w:rsid w:val="00E92544"/>
    <w:rsid w:val="00E94D8B"/>
    <w:rsid w:val="00E94FEB"/>
    <w:rsid w:val="00E9547E"/>
    <w:rsid w:val="00E968DF"/>
    <w:rsid w:val="00E96D4C"/>
    <w:rsid w:val="00EA06A1"/>
    <w:rsid w:val="00EA0CE5"/>
    <w:rsid w:val="00EA1E4D"/>
    <w:rsid w:val="00EA1F40"/>
    <w:rsid w:val="00EA2001"/>
    <w:rsid w:val="00EA2B76"/>
    <w:rsid w:val="00EA2C0E"/>
    <w:rsid w:val="00EA3296"/>
    <w:rsid w:val="00EA38A7"/>
    <w:rsid w:val="00EA3911"/>
    <w:rsid w:val="00EA3941"/>
    <w:rsid w:val="00EA3DD7"/>
    <w:rsid w:val="00EA4503"/>
    <w:rsid w:val="00EA58A3"/>
    <w:rsid w:val="00EA5AA4"/>
    <w:rsid w:val="00EA64AD"/>
    <w:rsid w:val="00EA6514"/>
    <w:rsid w:val="00EA70C9"/>
    <w:rsid w:val="00EB0BE9"/>
    <w:rsid w:val="00EB0F34"/>
    <w:rsid w:val="00EB1F77"/>
    <w:rsid w:val="00EB21EF"/>
    <w:rsid w:val="00EB24F9"/>
    <w:rsid w:val="00EB2AE3"/>
    <w:rsid w:val="00EB2D8C"/>
    <w:rsid w:val="00EB3C52"/>
    <w:rsid w:val="00EB5873"/>
    <w:rsid w:val="00EB6121"/>
    <w:rsid w:val="00EB61ED"/>
    <w:rsid w:val="00EB768C"/>
    <w:rsid w:val="00EC0469"/>
    <w:rsid w:val="00EC11C9"/>
    <w:rsid w:val="00EC14BE"/>
    <w:rsid w:val="00EC1576"/>
    <w:rsid w:val="00EC4F1B"/>
    <w:rsid w:val="00EC5FEA"/>
    <w:rsid w:val="00EC6513"/>
    <w:rsid w:val="00EC65D0"/>
    <w:rsid w:val="00EC6706"/>
    <w:rsid w:val="00EC72DC"/>
    <w:rsid w:val="00ED00B0"/>
    <w:rsid w:val="00ED035A"/>
    <w:rsid w:val="00ED0F04"/>
    <w:rsid w:val="00ED18C8"/>
    <w:rsid w:val="00ED1A60"/>
    <w:rsid w:val="00ED1E60"/>
    <w:rsid w:val="00ED227E"/>
    <w:rsid w:val="00ED267F"/>
    <w:rsid w:val="00ED376F"/>
    <w:rsid w:val="00ED3A47"/>
    <w:rsid w:val="00ED3B23"/>
    <w:rsid w:val="00ED3FAB"/>
    <w:rsid w:val="00ED4025"/>
    <w:rsid w:val="00ED4644"/>
    <w:rsid w:val="00ED5EB4"/>
    <w:rsid w:val="00ED60E5"/>
    <w:rsid w:val="00ED61AB"/>
    <w:rsid w:val="00ED6395"/>
    <w:rsid w:val="00ED63E4"/>
    <w:rsid w:val="00ED6861"/>
    <w:rsid w:val="00ED68FE"/>
    <w:rsid w:val="00ED6A65"/>
    <w:rsid w:val="00ED7465"/>
    <w:rsid w:val="00ED7788"/>
    <w:rsid w:val="00ED788C"/>
    <w:rsid w:val="00ED7E33"/>
    <w:rsid w:val="00EE149C"/>
    <w:rsid w:val="00EE16B8"/>
    <w:rsid w:val="00EE22C3"/>
    <w:rsid w:val="00EE2739"/>
    <w:rsid w:val="00EE2D0C"/>
    <w:rsid w:val="00EE3386"/>
    <w:rsid w:val="00EE3844"/>
    <w:rsid w:val="00EE3DD1"/>
    <w:rsid w:val="00EE4274"/>
    <w:rsid w:val="00EE456D"/>
    <w:rsid w:val="00EE58E5"/>
    <w:rsid w:val="00EE5AB8"/>
    <w:rsid w:val="00EE6C84"/>
    <w:rsid w:val="00EE762A"/>
    <w:rsid w:val="00EE7B63"/>
    <w:rsid w:val="00EF0249"/>
    <w:rsid w:val="00EF0926"/>
    <w:rsid w:val="00EF09DC"/>
    <w:rsid w:val="00EF258C"/>
    <w:rsid w:val="00EF28B3"/>
    <w:rsid w:val="00EF2A1F"/>
    <w:rsid w:val="00EF3012"/>
    <w:rsid w:val="00EF3032"/>
    <w:rsid w:val="00EF347D"/>
    <w:rsid w:val="00EF35AC"/>
    <w:rsid w:val="00EF3CE3"/>
    <w:rsid w:val="00EF3E49"/>
    <w:rsid w:val="00EF42DE"/>
    <w:rsid w:val="00EF44AC"/>
    <w:rsid w:val="00EF48E2"/>
    <w:rsid w:val="00EF4ABD"/>
    <w:rsid w:val="00EF4AEE"/>
    <w:rsid w:val="00EF50E1"/>
    <w:rsid w:val="00EF539A"/>
    <w:rsid w:val="00EF5661"/>
    <w:rsid w:val="00EF5C54"/>
    <w:rsid w:val="00EF5E77"/>
    <w:rsid w:val="00EF7C7B"/>
    <w:rsid w:val="00EF7E59"/>
    <w:rsid w:val="00F00E10"/>
    <w:rsid w:val="00F018F3"/>
    <w:rsid w:val="00F01E52"/>
    <w:rsid w:val="00F04151"/>
    <w:rsid w:val="00F042C8"/>
    <w:rsid w:val="00F043BC"/>
    <w:rsid w:val="00F0537F"/>
    <w:rsid w:val="00F054AD"/>
    <w:rsid w:val="00F059F7"/>
    <w:rsid w:val="00F0686C"/>
    <w:rsid w:val="00F06DB4"/>
    <w:rsid w:val="00F07445"/>
    <w:rsid w:val="00F07B6E"/>
    <w:rsid w:val="00F07DB4"/>
    <w:rsid w:val="00F1084C"/>
    <w:rsid w:val="00F10CCC"/>
    <w:rsid w:val="00F117AA"/>
    <w:rsid w:val="00F132EA"/>
    <w:rsid w:val="00F136C4"/>
    <w:rsid w:val="00F142A4"/>
    <w:rsid w:val="00F14791"/>
    <w:rsid w:val="00F148B1"/>
    <w:rsid w:val="00F14C4B"/>
    <w:rsid w:val="00F15098"/>
    <w:rsid w:val="00F166D3"/>
    <w:rsid w:val="00F201CC"/>
    <w:rsid w:val="00F22414"/>
    <w:rsid w:val="00F22FC0"/>
    <w:rsid w:val="00F23590"/>
    <w:rsid w:val="00F23691"/>
    <w:rsid w:val="00F244DC"/>
    <w:rsid w:val="00F2493D"/>
    <w:rsid w:val="00F25040"/>
    <w:rsid w:val="00F254E8"/>
    <w:rsid w:val="00F25A32"/>
    <w:rsid w:val="00F268B3"/>
    <w:rsid w:val="00F268F7"/>
    <w:rsid w:val="00F3264C"/>
    <w:rsid w:val="00F328AD"/>
    <w:rsid w:val="00F33038"/>
    <w:rsid w:val="00F3345C"/>
    <w:rsid w:val="00F33EBC"/>
    <w:rsid w:val="00F341E8"/>
    <w:rsid w:val="00F34515"/>
    <w:rsid w:val="00F357DD"/>
    <w:rsid w:val="00F35B43"/>
    <w:rsid w:val="00F35CFA"/>
    <w:rsid w:val="00F36367"/>
    <w:rsid w:val="00F36FF9"/>
    <w:rsid w:val="00F37113"/>
    <w:rsid w:val="00F37A3A"/>
    <w:rsid w:val="00F37B5B"/>
    <w:rsid w:val="00F41E03"/>
    <w:rsid w:val="00F41EC2"/>
    <w:rsid w:val="00F41EF2"/>
    <w:rsid w:val="00F42033"/>
    <w:rsid w:val="00F42225"/>
    <w:rsid w:val="00F426D4"/>
    <w:rsid w:val="00F43722"/>
    <w:rsid w:val="00F43A04"/>
    <w:rsid w:val="00F43DBE"/>
    <w:rsid w:val="00F448B2"/>
    <w:rsid w:val="00F44ED8"/>
    <w:rsid w:val="00F45022"/>
    <w:rsid w:val="00F45687"/>
    <w:rsid w:val="00F458BB"/>
    <w:rsid w:val="00F458D4"/>
    <w:rsid w:val="00F458D8"/>
    <w:rsid w:val="00F46D68"/>
    <w:rsid w:val="00F4793F"/>
    <w:rsid w:val="00F47E9A"/>
    <w:rsid w:val="00F5173F"/>
    <w:rsid w:val="00F52539"/>
    <w:rsid w:val="00F5268D"/>
    <w:rsid w:val="00F528C5"/>
    <w:rsid w:val="00F53181"/>
    <w:rsid w:val="00F537FC"/>
    <w:rsid w:val="00F54245"/>
    <w:rsid w:val="00F54892"/>
    <w:rsid w:val="00F55181"/>
    <w:rsid w:val="00F55BD0"/>
    <w:rsid w:val="00F56AF3"/>
    <w:rsid w:val="00F57158"/>
    <w:rsid w:val="00F60CD0"/>
    <w:rsid w:val="00F61851"/>
    <w:rsid w:val="00F61E04"/>
    <w:rsid w:val="00F62E58"/>
    <w:rsid w:val="00F63C36"/>
    <w:rsid w:val="00F63F9E"/>
    <w:rsid w:val="00F641BD"/>
    <w:rsid w:val="00F64DB0"/>
    <w:rsid w:val="00F64F1B"/>
    <w:rsid w:val="00F65655"/>
    <w:rsid w:val="00F65D99"/>
    <w:rsid w:val="00F662F1"/>
    <w:rsid w:val="00F669F2"/>
    <w:rsid w:val="00F704BB"/>
    <w:rsid w:val="00F71360"/>
    <w:rsid w:val="00F726CA"/>
    <w:rsid w:val="00F72ADD"/>
    <w:rsid w:val="00F7357D"/>
    <w:rsid w:val="00F73969"/>
    <w:rsid w:val="00F765EE"/>
    <w:rsid w:val="00F76D00"/>
    <w:rsid w:val="00F7707C"/>
    <w:rsid w:val="00F77C75"/>
    <w:rsid w:val="00F77DF2"/>
    <w:rsid w:val="00F81109"/>
    <w:rsid w:val="00F82386"/>
    <w:rsid w:val="00F8274E"/>
    <w:rsid w:val="00F831ED"/>
    <w:rsid w:val="00F84492"/>
    <w:rsid w:val="00F84766"/>
    <w:rsid w:val="00F84EA7"/>
    <w:rsid w:val="00F855C9"/>
    <w:rsid w:val="00F85698"/>
    <w:rsid w:val="00F8678F"/>
    <w:rsid w:val="00F87045"/>
    <w:rsid w:val="00F87821"/>
    <w:rsid w:val="00F87D66"/>
    <w:rsid w:val="00F90C00"/>
    <w:rsid w:val="00F90FD1"/>
    <w:rsid w:val="00F91145"/>
    <w:rsid w:val="00F918A3"/>
    <w:rsid w:val="00F91E20"/>
    <w:rsid w:val="00F91FE6"/>
    <w:rsid w:val="00F92BCD"/>
    <w:rsid w:val="00F93A86"/>
    <w:rsid w:val="00F9492B"/>
    <w:rsid w:val="00F96AA2"/>
    <w:rsid w:val="00F97328"/>
    <w:rsid w:val="00F97678"/>
    <w:rsid w:val="00F978DB"/>
    <w:rsid w:val="00FA0639"/>
    <w:rsid w:val="00FA06D2"/>
    <w:rsid w:val="00FA105D"/>
    <w:rsid w:val="00FA1510"/>
    <w:rsid w:val="00FA1863"/>
    <w:rsid w:val="00FA1A74"/>
    <w:rsid w:val="00FA2440"/>
    <w:rsid w:val="00FA2607"/>
    <w:rsid w:val="00FA28B8"/>
    <w:rsid w:val="00FA2AAB"/>
    <w:rsid w:val="00FA3320"/>
    <w:rsid w:val="00FA3A62"/>
    <w:rsid w:val="00FA43FB"/>
    <w:rsid w:val="00FA5536"/>
    <w:rsid w:val="00FA5712"/>
    <w:rsid w:val="00FA66C4"/>
    <w:rsid w:val="00FA6CFF"/>
    <w:rsid w:val="00FA7000"/>
    <w:rsid w:val="00FA7273"/>
    <w:rsid w:val="00FA7492"/>
    <w:rsid w:val="00FA795A"/>
    <w:rsid w:val="00FB0533"/>
    <w:rsid w:val="00FB192D"/>
    <w:rsid w:val="00FB1FAB"/>
    <w:rsid w:val="00FB25C9"/>
    <w:rsid w:val="00FB31CC"/>
    <w:rsid w:val="00FB32D0"/>
    <w:rsid w:val="00FB42A4"/>
    <w:rsid w:val="00FB4858"/>
    <w:rsid w:val="00FB50CA"/>
    <w:rsid w:val="00FB6A74"/>
    <w:rsid w:val="00FB7035"/>
    <w:rsid w:val="00FB7723"/>
    <w:rsid w:val="00FC0BC5"/>
    <w:rsid w:val="00FC3008"/>
    <w:rsid w:val="00FC32F3"/>
    <w:rsid w:val="00FC3333"/>
    <w:rsid w:val="00FC35E5"/>
    <w:rsid w:val="00FC5576"/>
    <w:rsid w:val="00FC634A"/>
    <w:rsid w:val="00FC6C48"/>
    <w:rsid w:val="00FC71D4"/>
    <w:rsid w:val="00FC764E"/>
    <w:rsid w:val="00FD1096"/>
    <w:rsid w:val="00FD11F6"/>
    <w:rsid w:val="00FD19EC"/>
    <w:rsid w:val="00FD234D"/>
    <w:rsid w:val="00FD238E"/>
    <w:rsid w:val="00FD26D2"/>
    <w:rsid w:val="00FD2FBE"/>
    <w:rsid w:val="00FD34C9"/>
    <w:rsid w:val="00FD4406"/>
    <w:rsid w:val="00FD45E2"/>
    <w:rsid w:val="00FD4B32"/>
    <w:rsid w:val="00FD5175"/>
    <w:rsid w:val="00FD5C8B"/>
    <w:rsid w:val="00FD5FC3"/>
    <w:rsid w:val="00FD65F4"/>
    <w:rsid w:val="00FD70E1"/>
    <w:rsid w:val="00FE100F"/>
    <w:rsid w:val="00FE27FB"/>
    <w:rsid w:val="00FE2A6F"/>
    <w:rsid w:val="00FE31C6"/>
    <w:rsid w:val="00FE3216"/>
    <w:rsid w:val="00FE33C7"/>
    <w:rsid w:val="00FE4878"/>
    <w:rsid w:val="00FE4F2C"/>
    <w:rsid w:val="00FE5DCA"/>
    <w:rsid w:val="00FE5F4E"/>
    <w:rsid w:val="00FE5FF5"/>
    <w:rsid w:val="00FE63DB"/>
    <w:rsid w:val="00FE6439"/>
    <w:rsid w:val="00FE6699"/>
    <w:rsid w:val="00FE6792"/>
    <w:rsid w:val="00FE6CE8"/>
    <w:rsid w:val="00FE712A"/>
    <w:rsid w:val="00FE7584"/>
    <w:rsid w:val="00FE7D55"/>
    <w:rsid w:val="00FF016C"/>
    <w:rsid w:val="00FF12BF"/>
    <w:rsid w:val="00FF18FB"/>
    <w:rsid w:val="00FF1E63"/>
    <w:rsid w:val="00FF2887"/>
    <w:rsid w:val="00FF2C8F"/>
    <w:rsid w:val="00FF39A6"/>
    <w:rsid w:val="00FF41F8"/>
    <w:rsid w:val="00FF4776"/>
    <w:rsid w:val="00FF4A63"/>
    <w:rsid w:val="00FF5D5D"/>
    <w:rsid w:val="00FF6C13"/>
    <w:rsid w:val="00FF769D"/>
    <w:rsid w:val="00FF7AA5"/>
    <w:rsid w:val="0AD83880"/>
    <w:rsid w:val="0B67E7DA"/>
    <w:rsid w:val="577A53B1"/>
    <w:rsid w:val="74568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C352D"/>
  <w15:chartTrackingRefBased/>
  <w15:docId w15:val="{350FF4F2-1599-4BF4-A82E-B6A332C3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AD3D8D"/>
    <w:pPr>
      <w:spacing w:before="120" w:after="0" w:line="240" w:lineRule="auto"/>
      <w:jc w:val="both"/>
    </w:pPr>
    <w:rPr>
      <w:rFonts w:ascii="Lato" w:hAnsi="Lato"/>
      <w:sz w:val="20"/>
      <w:szCs w:val="20"/>
      <w:lang w:val="nl-BE"/>
    </w:rPr>
  </w:style>
  <w:style w:type="paragraph" w:styleId="Kop1">
    <w:name w:val="heading 1"/>
    <w:basedOn w:val="Standaard"/>
    <w:next w:val="Standaard"/>
    <w:link w:val="Kop1Char"/>
    <w:uiPriority w:val="9"/>
    <w:qFormat/>
    <w:rsid w:val="00DA5BAA"/>
    <w:pPr>
      <w:keepNext/>
      <w:keepLines/>
      <w:numPr>
        <w:numId w:val="1"/>
      </w:numPr>
      <w:spacing w:before="360" w:after="120"/>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DA5BAA"/>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FB31CC"/>
    <w:pPr>
      <w:numPr>
        <w:ilvl w:val="2"/>
      </w:numPr>
      <w:spacing w:before="240"/>
      <w:ind w:left="851" w:hanging="851"/>
      <w:outlineLvl w:val="2"/>
    </w:pPr>
    <w:rPr>
      <w:noProof/>
      <w:sz w:val="28"/>
      <w:szCs w:val="24"/>
    </w:rPr>
  </w:style>
  <w:style w:type="paragraph" w:styleId="Kop4">
    <w:name w:val="heading 4"/>
    <w:basedOn w:val="Standaard"/>
    <w:next w:val="Standaard"/>
    <w:link w:val="Kop4Char"/>
    <w:uiPriority w:val="9"/>
    <w:unhideWhenUsed/>
    <w:rsid w:val="0069094F"/>
    <w:pPr>
      <w:keepNext/>
      <w:keepLines/>
      <w:spacing w:before="240" w:after="120"/>
      <w:jc w:val="left"/>
      <w:outlineLvl w:val="3"/>
    </w:pPr>
    <w:rPr>
      <w:rFonts w:eastAsiaTheme="majorEastAsia" w:cstheme="majorBidi"/>
      <w:iCs/>
      <w:sz w:val="24"/>
      <w:lang w:val="en-US"/>
    </w:rPr>
  </w:style>
  <w:style w:type="paragraph" w:styleId="Kop5">
    <w:name w:val="heading 5"/>
    <w:basedOn w:val="Standaard"/>
    <w:next w:val="Standaard"/>
    <w:link w:val="Kop5Char"/>
    <w:uiPriority w:val="9"/>
    <w:unhideWhenUsed/>
    <w:rsid w:val="00DA5BAA"/>
    <w:pPr>
      <w:keepNext/>
      <w:keepLines/>
      <w:spacing w:before="240" w:after="120"/>
      <w:jc w:val="left"/>
      <w:outlineLvl w:val="4"/>
    </w:pPr>
    <w:rPr>
      <w:rFonts w:eastAsiaTheme="majorEastAsia" w:cstheme="majorBidi"/>
      <w:noProof/>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aphic-H1">
    <w:name w:val="Graphic - H1"/>
    <w:basedOn w:val="Standaard"/>
    <w:next w:val="Standaard"/>
    <w:rsid w:val="00C6570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Standaard"/>
    <w:rsid w:val="005328E7"/>
    <w:pPr>
      <w:spacing w:before="60" w:after="60"/>
    </w:pPr>
    <w:rPr>
      <w:i/>
      <w:sz w:val="20"/>
    </w:rPr>
  </w:style>
  <w:style w:type="paragraph" w:customStyle="1" w:styleId="Figure-H2">
    <w:name w:val="Figure - H2"/>
    <w:basedOn w:val="Graphic-H2"/>
    <w:rsid w:val="00F9492B"/>
  </w:style>
  <w:style w:type="paragraph" w:styleId="Koptekst">
    <w:name w:val="header"/>
    <w:link w:val="KoptekstChar"/>
    <w:uiPriority w:val="99"/>
    <w:unhideWhenUsed/>
    <w:locked/>
    <w:rsid w:val="00DB0FA2"/>
    <w:pPr>
      <w:tabs>
        <w:tab w:val="center" w:pos="4680"/>
        <w:tab w:val="right" w:pos="9360"/>
      </w:tabs>
    </w:pPr>
    <w:rPr>
      <w:rFonts w:ascii="Lato" w:hAnsi="Lato"/>
      <w:sz w:val="18"/>
      <w:szCs w:val="18"/>
      <w:lang w:val="fr-BE"/>
    </w:rPr>
  </w:style>
  <w:style w:type="character" w:customStyle="1" w:styleId="KoptekstChar">
    <w:name w:val="Koptekst Char"/>
    <w:basedOn w:val="Standaardalinea-lettertype"/>
    <w:link w:val="Koptekst"/>
    <w:uiPriority w:val="99"/>
    <w:rsid w:val="00DB0FA2"/>
    <w:rPr>
      <w:rFonts w:ascii="Lato" w:hAnsi="Lato"/>
      <w:sz w:val="18"/>
      <w:szCs w:val="18"/>
      <w:lang w:val="fr-BE"/>
    </w:rPr>
  </w:style>
  <w:style w:type="character" w:customStyle="1" w:styleId="Kop1Char">
    <w:name w:val="Kop 1 Char"/>
    <w:basedOn w:val="Standaardalinea-lettertype"/>
    <w:link w:val="Kop1"/>
    <w:uiPriority w:val="9"/>
    <w:rsid w:val="00DA5BAA"/>
    <w:rPr>
      <w:rFonts w:ascii="Lato" w:eastAsiaTheme="majorEastAsia" w:hAnsi="Lato" w:cstheme="majorBidi"/>
      <w:sz w:val="36"/>
      <w:szCs w:val="36"/>
      <w:lang w:val="nl-BE"/>
    </w:rPr>
  </w:style>
  <w:style w:type="character" w:customStyle="1" w:styleId="Kop2Char">
    <w:name w:val="Kop 2 Char"/>
    <w:basedOn w:val="Standaardalinea-lettertype"/>
    <w:link w:val="Kop2"/>
    <w:uiPriority w:val="9"/>
    <w:rsid w:val="00DA5BAA"/>
    <w:rPr>
      <w:rFonts w:ascii="Lato" w:eastAsiaTheme="majorEastAsia" w:hAnsi="Lato" w:cstheme="majorBidi"/>
      <w:noProof/>
      <w:sz w:val="32"/>
      <w:szCs w:val="30"/>
      <w:lang w:val="nl-BE"/>
    </w:rPr>
  </w:style>
  <w:style w:type="character" w:customStyle="1" w:styleId="Kop3Char">
    <w:name w:val="Kop 3 Char"/>
    <w:basedOn w:val="Standaardalinea-lettertype"/>
    <w:link w:val="Kop3"/>
    <w:uiPriority w:val="9"/>
    <w:rsid w:val="00FB31CC"/>
    <w:rPr>
      <w:rFonts w:ascii="Lato" w:eastAsiaTheme="majorEastAsia" w:hAnsi="Lato" w:cstheme="majorBidi"/>
      <w:noProof/>
      <w:sz w:val="28"/>
      <w:szCs w:val="24"/>
      <w:lang w:val="nl-BE"/>
    </w:rPr>
  </w:style>
  <w:style w:type="character" w:customStyle="1" w:styleId="Kop4Char">
    <w:name w:val="Kop 4 Char"/>
    <w:basedOn w:val="Standaardalinea-lettertype"/>
    <w:link w:val="Kop4"/>
    <w:uiPriority w:val="9"/>
    <w:rsid w:val="0069094F"/>
    <w:rPr>
      <w:rFonts w:ascii="Lato" w:eastAsiaTheme="majorEastAsia" w:hAnsi="Lato" w:cstheme="majorBidi"/>
      <w:iCs/>
      <w:sz w:val="24"/>
      <w:szCs w:val="20"/>
    </w:rPr>
  </w:style>
  <w:style w:type="character" w:customStyle="1" w:styleId="Kop5Char">
    <w:name w:val="Kop 5 Char"/>
    <w:basedOn w:val="Standaardalinea-lettertype"/>
    <w:link w:val="Kop5"/>
    <w:uiPriority w:val="9"/>
    <w:rsid w:val="00DA5BAA"/>
    <w:rPr>
      <w:rFonts w:ascii="Lato" w:eastAsiaTheme="majorEastAsia" w:hAnsi="Lato" w:cstheme="majorBidi"/>
      <w:noProof/>
      <w:szCs w:val="20"/>
    </w:rPr>
  </w:style>
  <w:style w:type="paragraph" w:customStyle="1" w:styleId="Bullet1">
    <w:name w:val="Bullet 1"/>
    <w:basedOn w:val="Standaard"/>
    <w:qFormat/>
    <w:rsid w:val="00EB21EF"/>
    <w:pPr>
      <w:numPr>
        <w:numId w:val="2"/>
      </w:numPr>
      <w:spacing w:before="60"/>
      <w:ind w:left="284" w:hanging="284"/>
    </w:pPr>
    <w:rPr>
      <w:lang w:val="fr-FR"/>
    </w:rPr>
  </w:style>
  <w:style w:type="paragraph" w:customStyle="1" w:styleId="Bullet2">
    <w:name w:val="Bullet 2"/>
    <w:basedOn w:val="Bullet1"/>
    <w:qFormat/>
    <w:rsid w:val="00B33EAD"/>
    <w:pPr>
      <w:numPr>
        <w:ilvl w:val="1"/>
        <w:numId w:val="3"/>
      </w:numPr>
      <w:ind w:left="567" w:hanging="283"/>
    </w:pPr>
  </w:style>
  <w:style w:type="paragraph" w:customStyle="1" w:styleId="Bullet3">
    <w:name w:val="Bullet 3"/>
    <w:basedOn w:val="Bullet2"/>
    <w:rsid w:val="00B33EAD"/>
    <w:pPr>
      <w:numPr>
        <w:ilvl w:val="2"/>
        <w:numId w:val="4"/>
      </w:numPr>
      <w:ind w:left="851" w:hanging="284"/>
    </w:pPr>
  </w:style>
  <w:style w:type="paragraph" w:customStyle="1" w:styleId="Indent1">
    <w:name w:val="Indent 1"/>
    <w:basedOn w:val="Standaard"/>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Standaard"/>
    <w:rsid w:val="00004230"/>
    <w:pPr>
      <w:spacing w:before="60" w:after="240"/>
      <w:jc w:val="left"/>
    </w:pPr>
    <w:rPr>
      <w:sz w:val="18"/>
    </w:rPr>
  </w:style>
  <w:style w:type="paragraph" w:customStyle="1" w:styleId="Table">
    <w:name w:val="Table"/>
    <w:basedOn w:val="Standaard"/>
    <w:rsid w:val="00B00CAF"/>
    <w:pPr>
      <w:spacing w:before="0"/>
      <w:jc w:val="left"/>
    </w:pPr>
    <w:rPr>
      <w:sz w:val="18"/>
    </w:rPr>
  </w:style>
  <w:style w:type="paragraph" w:styleId="Inhopg1">
    <w:name w:val="toc 1"/>
    <w:basedOn w:val="Standaard"/>
    <w:next w:val="Standaard"/>
    <w:autoRedefine/>
    <w:uiPriority w:val="39"/>
    <w:unhideWhenUsed/>
    <w:locked/>
    <w:rsid w:val="000625C3"/>
    <w:pPr>
      <w:tabs>
        <w:tab w:val="left" w:pos="426"/>
        <w:tab w:val="right" w:leader="dot" w:pos="8494"/>
      </w:tabs>
      <w:spacing w:after="100"/>
      <w:ind w:left="426" w:hanging="426"/>
    </w:pPr>
    <w:rPr>
      <w:noProof/>
    </w:rPr>
  </w:style>
  <w:style w:type="paragraph" w:styleId="Inhopg2">
    <w:name w:val="toc 2"/>
    <w:basedOn w:val="Standaard"/>
    <w:next w:val="Standaard"/>
    <w:autoRedefine/>
    <w:uiPriority w:val="39"/>
    <w:unhideWhenUsed/>
    <w:locked/>
    <w:rsid w:val="008167BC"/>
    <w:pPr>
      <w:tabs>
        <w:tab w:val="left" w:pos="993"/>
        <w:tab w:val="right" w:leader="dot" w:pos="8494"/>
      </w:tabs>
      <w:spacing w:after="100"/>
      <w:ind w:left="993" w:hanging="567"/>
    </w:pPr>
  </w:style>
  <w:style w:type="paragraph" w:styleId="Inhopg3">
    <w:name w:val="toc 3"/>
    <w:basedOn w:val="Standaard"/>
    <w:next w:val="Standaard"/>
    <w:autoRedefine/>
    <w:uiPriority w:val="39"/>
    <w:unhideWhenUsed/>
    <w:locked/>
    <w:rsid w:val="000625C3"/>
    <w:pPr>
      <w:tabs>
        <w:tab w:val="left" w:pos="1701"/>
        <w:tab w:val="right" w:leader="dot" w:pos="8494"/>
      </w:tabs>
      <w:spacing w:after="100"/>
      <w:ind w:left="1701" w:hanging="708"/>
    </w:pPr>
  </w:style>
  <w:style w:type="paragraph" w:styleId="Voettekst">
    <w:name w:val="footer"/>
    <w:basedOn w:val="Standaard"/>
    <w:link w:val="VoettekstChar"/>
    <w:uiPriority w:val="99"/>
    <w:unhideWhenUsed/>
    <w:locked/>
    <w:rsid w:val="00F9492B"/>
    <w:pPr>
      <w:tabs>
        <w:tab w:val="center" w:pos="4680"/>
        <w:tab w:val="right" w:pos="9360"/>
      </w:tabs>
      <w:jc w:val="center"/>
    </w:pPr>
  </w:style>
  <w:style w:type="character" w:customStyle="1" w:styleId="VoettekstChar">
    <w:name w:val="Voettekst Char"/>
    <w:basedOn w:val="Standaardalinea-lettertype"/>
    <w:link w:val="Voettekst"/>
    <w:uiPriority w:val="99"/>
    <w:rsid w:val="00F9492B"/>
    <w:rPr>
      <w:rFonts w:ascii="Lato" w:hAnsi="Lato"/>
      <w:sz w:val="18"/>
      <w:szCs w:val="18"/>
      <w:lang w:val="fr-BE"/>
    </w:rPr>
  </w:style>
  <w:style w:type="table" w:styleId="Tabelraster">
    <w:name w:val="Table Grid"/>
    <w:basedOn w:val="Standaardtabel"/>
    <w:uiPriority w:val="5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locked/>
    <w:rsid w:val="003C09AD"/>
    <w:pPr>
      <w:numPr>
        <w:numId w:val="0"/>
      </w:numPr>
      <w:spacing w:before="240" w:after="0" w:line="259" w:lineRule="auto"/>
      <w:outlineLvl w:val="9"/>
    </w:pPr>
    <w:rPr>
      <w:sz w:val="24"/>
      <w:szCs w:val="24"/>
      <w:lang w:val="en-US"/>
    </w:rPr>
  </w:style>
  <w:style w:type="character" w:styleId="Hyperlink">
    <w:name w:val="Hyperlink"/>
    <w:basedOn w:val="Standaardalinea-lettertype"/>
    <w:uiPriority w:val="99"/>
    <w:unhideWhenUsed/>
    <w:locked/>
    <w:rsid w:val="003C09AD"/>
    <w:rPr>
      <w:color w:val="0563C1" w:themeColor="hyperlink"/>
      <w:u w:val="single"/>
    </w:rPr>
  </w:style>
  <w:style w:type="paragraph" w:styleId="Voetnoottekst">
    <w:name w:val="footnote text"/>
    <w:basedOn w:val="Standaard"/>
    <w:link w:val="VoetnoottekstChar"/>
    <w:uiPriority w:val="99"/>
    <w:qFormat/>
    <w:locked/>
    <w:rsid w:val="00D864A0"/>
    <w:pPr>
      <w:spacing w:before="0" w:after="60"/>
    </w:pPr>
    <w:rPr>
      <w:sz w:val="18"/>
    </w:rPr>
  </w:style>
  <w:style w:type="paragraph" w:styleId="Lijstmetafbeeldingen">
    <w:name w:val="table of figures"/>
    <w:basedOn w:val="Standaard"/>
    <w:next w:val="Standaard"/>
    <w:uiPriority w:val="99"/>
    <w:unhideWhenUsed/>
    <w:rsid w:val="00893E81"/>
  </w:style>
  <w:style w:type="character" w:customStyle="1" w:styleId="VoetnoottekstChar">
    <w:name w:val="Voetnoottekst Char"/>
    <w:basedOn w:val="Standaardalinea-lettertype"/>
    <w:link w:val="Voetnoottekst"/>
    <w:uiPriority w:val="99"/>
    <w:rsid w:val="00D864A0"/>
    <w:rPr>
      <w:rFonts w:ascii="Lato" w:hAnsi="Lato"/>
      <w:sz w:val="18"/>
      <w:szCs w:val="20"/>
      <w:lang w:val="nl-BE"/>
    </w:rPr>
  </w:style>
  <w:style w:type="character" w:styleId="Voetnootmarkering">
    <w:name w:val="footnote reference"/>
    <w:basedOn w:val="Standaardalinea-lettertype"/>
    <w:uiPriority w:val="99"/>
    <w:unhideWhenUsed/>
    <w:locked/>
    <w:rsid w:val="004C3CD8"/>
    <w:rPr>
      <w:vertAlign w:val="superscript"/>
    </w:rPr>
  </w:style>
  <w:style w:type="paragraph" w:customStyle="1" w:styleId="NoParagraphStyle">
    <w:name w:val="[No Paragraph Style]"/>
    <w:basedOn w:val="Standaard"/>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link w:val="txtCar"/>
    <w:uiPriority w:val="1"/>
    <w:locked/>
    <w:rsid w:val="00BD1014"/>
    <w:pPr>
      <w:spacing w:before="57" w:after="170"/>
    </w:pPr>
    <w:rPr>
      <w:sz w:val="18"/>
    </w:rPr>
  </w:style>
  <w:style w:type="character" w:styleId="GevolgdeHyperlink">
    <w:name w:val="FollowedHyperlink"/>
    <w:basedOn w:val="Standaardalinea-lettertype"/>
    <w:uiPriority w:val="99"/>
    <w:semiHidden/>
    <w:unhideWhenUsed/>
    <w:locked/>
    <w:rsid w:val="00DA7C1E"/>
    <w:rPr>
      <w:color w:val="954F72" w:themeColor="followedHyperlink"/>
      <w:u w:val="single"/>
    </w:rPr>
  </w:style>
  <w:style w:type="paragraph" w:customStyle="1" w:styleId="Title-1-brochure">
    <w:name w:val="Title-1-brochure"/>
    <w:rsid w:val="00DA5BAA"/>
    <w:pPr>
      <w:spacing w:line="240" w:lineRule="auto"/>
      <w:jc w:val="center"/>
    </w:pPr>
    <w:rPr>
      <w:rFonts w:ascii="Lato" w:hAnsi="Lato"/>
      <w:sz w:val="36"/>
      <w:szCs w:val="36"/>
      <w:lang w:val="nl-BE"/>
    </w:rPr>
  </w:style>
  <w:style w:type="paragraph" w:customStyle="1" w:styleId="Title-2-brochure">
    <w:name w:val="Title-2-brochure"/>
    <w:basedOn w:val="Title-1-brochure"/>
    <w:rsid w:val="00DA5BAA"/>
    <w:rPr>
      <w:rFonts w:ascii="Lato Light" w:hAnsi="Lato Light"/>
      <w:sz w:val="32"/>
      <w:szCs w:val="32"/>
    </w:rPr>
  </w:style>
  <w:style w:type="paragraph" w:styleId="Lijstnummering">
    <w:name w:val="List Number"/>
    <w:basedOn w:val="Standaard"/>
    <w:locked/>
    <w:rsid w:val="00B33EAD"/>
    <w:pPr>
      <w:numPr>
        <w:numId w:val="40"/>
      </w:numPr>
      <w:spacing w:before="60"/>
    </w:pPr>
    <w:rPr>
      <w:rFonts w:eastAsia="Times New Roman" w:cs="Times New Roman"/>
      <w:szCs w:val="18"/>
    </w:rPr>
  </w:style>
  <w:style w:type="paragraph" w:styleId="Lijstnummering2">
    <w:name w:val="List Number 2"/>
    <w:basedOn w:val="Lijstnummering"/>
    <w:locked/>
    <w:rsid w:val="00814BE3"/>
    <w:pPr>
      <w:numPr>
        <w:numId w:val="6"/>
      </w:numPr>
      <w:tabs>
        <w:tab w:val="left" w:pos="567"/>
      </w:tabs>
      <w:ind w:left="567" w:hanging="283"/>
    </w:pPr>
  </w:style>
  <w:style w:type="paragraph" w:styleId="Lijstnummering3">
    <w:name w:val="List Number 3"/>
    <w:basedOn w:val="Lijstnummering2"/>
    <w:locked/>
    <w:rsid w:val="00B33EAD"/>
    <w:pPr>
      <w:numPr>
        <w:numId w:val="5"/>
      </w:numPr>
      <w:tabs>
        <w:tab w:val="clear" w:pos="926"/>
        <w:tab w:val="num" w:pos="851"/>
      </w:tabs>
      <w:ind w:left="851" w:hanging="285"/>
    </w:pPr>
    <w:rPr>
      <w:lang w:val="fr-BE"/>
    </w:r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Tabelrasterlicht">
    <w:name w:val="Grid Table Light"/>
    <w:basedOn w:val="Standaardtabe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Standaardtabe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Lijstalinea">
    <w:name w:val="List Paragraph"/>
    <w:basedOn w:val="Standaard"/>
    <w:uiPriority w:val="34"/>
    <w:qFormat/>
    <w:rsid w:val="000A323C"/>
    <w:pPr>
      <w:spacing w:before="0" w:after="160" w:line="259" w:lineRule="auto"/>
      <w:ind w:left="720"/>
      <w:contextualSpacing/>
      <w:jc w:val="left"/>
    </w:pPr>
    <w:rPr>
      <w:szCs w:val="22"/>
    </w:rPr>
  </w:style>
  <w:style w:type="paragraph" w:customStyle="1" w:styleId="paragraph">
    <w:name w:val="paragraph"/>
    <w:basedOn w:val="Standaard"/>
    <w:rsid w:val="00C34D81"/>
    <w:pPr>
      <w:spacing w:before="100" w:beforeAutospacing="1" w:after="100" w:afterAutospacing="1"/>
      <w:jc w:val="left"/>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C34D81"/>
  </w:style>
  <w:style w:type="character" w:customStyle="1" w:styleId="eop">
    <w:name w:val="eop"/>
    <w:basedOn w:val="Standaardalinea-lettertype"/>
    <w:rsid w:val="00C34D81"/>
  </w:style>
  <w:style w:type="character" w:styleId="Onopgelostemelding">
    <w:name w:val="Unresolved Mention"/>
    <w:basedOn w:val="Standaardalinea-lettertype"/>
    <w:uiPriority w:val="99"/>
    <w:semiHidden/>
    <w:unhideWhenUsed/>
    <w:rsid w:val="009F4459"/>
    <w:rPr>
      <w:color w:val="605E5C"/>
      <w:shd w:val="clear" w:color="auto" w:fill="E1DFDD"/>
    </w:rPr>
  </w:style>
  <w:style w:type="paragraph" w:styleId="Inhopg4">
    <w:name w:val="toc 4"/>
    <w:basedOn w:val="Standaard"/>
    <w:next w:val="Standaard"/>
    <w:autoRedefine/>
    <w:uiPriority w:val="39"/>
    <w:unhideWhenUsed/>
    <w:locked/>
    <w:rsid w:val="003D5EFD"/>
    <w:pPr>
      <w:spacing w:before="0" w:after="100" w:line="259" w:lineRule="auto"/>
      <w:ind w:left="660"/>
      <w:jc w:val="left"/>
    </w:pPr>
    <w:rPr>
      <w:rFonts w:asciiTheme="minorHAnsi" w:eastAsiaTheme="minorEastAsia" w:hAnsiTheme="minorHAnsi"/>
      <w:sz w:val="22"/>
      <w:szCs w:val="22"/>
      <w:lang w:eastAsia="nl-BE"/>
    </w:rPr>
  </w:style>
  <w:style w:type="paragraph" w:styleId="Inhopg5">
    <w:name w:val="toc 5"/>
    <w:basedOn w:val="Standaard"/>
    <w:next w:val="Standaard"/>
    <w:autoRedefine/>
    <w:uiPriority w:val="39"/>
    <w:unhideWhenUsed/>
    <w:locked/>
    <w:rsid w:val="003D5EFD"/>
    <w:pPr>
      <w:spacing w:before="0" w:after="100" w:line="259" w:lineRule="auto"/>
      <w:ind w:left="880"/>
      <w:jc w:val="left"/>
    </w:pPr>
    <w:rPr>
      <w:rFonts w:asciiTheme="minorHAnsi" w:eastAsiaTheme="minorEastAsia" w:hAnsiTheme="minorHAnsi"/>
      <w:sz w:val="22"/>
      <w:szCs w:val="22"/>
      <w:lang w:eastAsia="nl-BE"/>
    </w:rPr>
  </w:style>
  <w:style w:type="paragraph" w:styleId="Inhopg6">
    <w:name w:val="toc 6"/>
    <w:basedOn w:val="Standaard"/>
    <w:next w:val="Standaard"/>
    <w:autoRedefine/>
    <w:uiPriority w:val="39"/>
    <w:unhideWhenUsed/>
    <w:locked/>
    <w:rsid w:val="003D5EFD"/>
    <w:pPr>
      <w:spacing w:before="0" w:after="100" w:line="259" w:lineRule="auto"/>
      <w:ind w:left="1100"/>
      <w:jc w:val="left"/>
    </w:pPr>
    <w:rPr>
      <w:rFonts w:asciiTheme="minorHAnsi" w:eastAsiaTheme="minorEastAsia" w:hAnsiTheme="minorHAnsi"/>
      <w:sz w:val="22"/>
      <w:szCs w:val="22"/>
      <w:lang w:eastAsia="nl-BE"/>
    </w:rPr>
  </w:style>
  <w:style w:type="paragraph" w:styleId="Inhopg7">
    <w:name w:val="toc 7"/>
    <w:basedOn w:val="Standaard"/>
    <w:next w:val="Standaard"/>
    <w:autoRedefine/>
    <w:uiPriority w:val="39"/>
    <w:unhideWhenUsed/>
    <w:locked/>
    <w:rsid w:val="003D5EFD"/>
    <w:pPr>
      <w:spacing w:before="0" w:after="100" w:line="259" w:lineRule="auto"/>
      <w:ind w:left="1320"/>
      <w:jc w:val="left"/>
    </w:pPr>
    <w:rPr>
      <w:rFonts w:asciiTheme="minorHAnsi" w:eastAsiaTheme="minorEastAsia" w:hAnsiTheme="minorHAnsi"/>
      <w:sz w:val="22"/>
      <w:szCs w:val="22"/>
      <w:lang w:eastAsia="nl-BE"/>
    </w:rPr>
  </w:style>
  <w:style w:type="paragraph" w:styleId="Inhopg8">
    <w:name w:val="toc 8"/>
    <w:basedOn w:val="Standaard"/>
    <w:next w:val="Standaard"/>
    <w:autoRedefine/>
    <w:uiPriority w:val="39"/>
    <w:unhideWhenUsed/>
    <w:locked/>
    <w:rsid w:val="003D5EFD"/>
    <w:pPr>
      <w:spacing w:before="0" w:after="100" w:line="259" w:lineRule="auto"/>
      <w:ind w:left="1540"/>
      <w:jc w:val="left"/>
    </w:pPr>
    <w:rPr>
      <w:rFonts w:asciiTheme="minorHAnsi" w:eastAsiaTheme="minorEastAsia" w:hAnsiTheme="minorHAnsi"/>
      <w:sz w:val="22"/>
      <w:szCs w:val="22"/>
      <w:lang w:eastAsia="nl-BE"/>
    </w:rPr>
  </w:style>
  <w:style w:type="paragraph" w:styleId="Inhopg9">
    <w:name w:val="toc 9"/>
    <w:basedOn w:val="Standaard"/>
    <w:next w:val="Standaard"/>
    <w:autoRedefine/>
    <w:uiPriority w:val="39"/>
    <w:unhideWhenUsed/>
    <w:locked/>
    <w:rsid w:val="003D5EFD"/>
    <w:pPr>
      <w:spacing w:before="0" w:after="100" w:line="259" w:lineRule="auto"/>
      <w:ind w:left="1760"/>
      <w:jc w:val="left"/>
    </w:pPr>
    <w:rPr>
      <w:rFonts w:asciiTheme="minorHAnsi" w:eastAsiaTheme="minorEastAsia" w:hAnsiTheme="minorHAnsi"/>
      <w:sz w:val="22"/>
      <w:szCs w:val="22"/>
      <w:lang w:eastAsia="nl-BE"/>
    </w:rPr>
  </w:style>
  <w:style w:type="paragraph" w:styleId="Tekstopmerking">
    <w:name w:val="annotation text"/>
    <w:basedOn w:val="Standaard"/>
    <w:link w:val="TekstopmerkingChar"/>
    <w:uiPriority w:val="99"/>
    <w:semiHidden/>
    <w:unhideWhenUsed/>
    <w:locked/>
    <w:rsid w:val="00423543"/>
    <w:pPr>
      <w:spacing w:before="0" w:after="160"/>
      <w:jc w:val="left"/>
    </w:pPr>
    <w:rPr>
      <w:rFonts w:asciiTheme="minorHAnsi" w:hAnsiTheme="minorHAnsi"/>
      <w:lang w:val="en-US"/>
    </w:rPr>
  </w:style>
  <w:style w:type="character" w:customStyle="1" w:styleId="TekstopmerkingChar">
    <w:name w:val="Tekst opmerking Char"/>
    <w:basedOn w:val="Standaardalinea-lettertype"/>
    <w:link w:val="Tekstopmerking"/>
    <w:uiPriority w:val="99"/>
    <w:semiHidden/>
    <w:rsid w:val="00423543"/>
    <w:rPr>
      <w:sz w:val="20"/>
      <w:szCs w:val="20"/>
    </w:rPr>
  </w:style>
  <w:style w:type="character" w:styleId="Verwijzingopmerking">
    <w:name w:val="annotation reference"/>
    <w:basedOn w:val="Standaardalinea-lettertype"/>
    <w:uiPriority w:val="99"/>
    <w:semiHidden/>
    <w:unhideWhenUsed/>
    <w:locked/>
    <w:rsid w:val="00423543"/>
    <w:rPr>
      <w:sz w:val="16"/>
      <w:szCs w:val="16"/>
    </w:rPr>
  </w:style>
  <w:style w:type="character" w:customStyle="1" w:styleId="txtCar">
    <w:name w:val="txt Car"/>
    <w:basedOn w:val="Standaardalinea-lettertype"/>
    <w:link w:val="txt"/>
    <w:uiPriority w:val="1"/>
    <w:rsid w:val="006D099B"/>
    <w:rPr>
      <w:rFonts w:ascii="Lato Light" w:hAnsi="Lato Light" w:cs="DINPro-Regular"/>
      <w:color w:val="000000"/>
      <w:spacing w:val="-4"/>
      <w:sz w:val="18"/>
      <w:lang w:val="fr-FR"/>
    </w:rPr>
  </w:style>
  <w:style w:type="paragraph" w:customStyle="1" w:styleId="puce2">
    <w:name w:val="puce 2"/>
    <w:basedOn w:val="Standaard"/>
    <w:uiPriority w:val="1"/>
    <w:rsid w:val="00213F05"/>
    <w:pPr>
      <w:numPr>
        <w:ilvl w:val="3"/>
        <w:numId w:val="24"/>
      </w:numPr>
      <w:spacing w:before="0" w:after="120" w:line="259" w:lineRule="auto"/>
    </w:pPr>
    <w:rPr>
      <w:rFonts w:ascii="DINPro-Regular" w:eastAsia="Times New Roman" w:hAnsi="DINPro-Regular" w:cs="Times New Roman"/>
      <w:sz w:val="22"/>
      <w:szCs w:val="22"/>
      <w:lang w:val="en-US"/>
    </w:rPr>
  </w:style>
  <w:style w:type="paragraph" w:styleId="Geenafstand">
    <w:name w:val="No Spacing"/>
    <w:uiPriority w:val="1"/>
    <w:qFormat/>
    <w:locked/>
    <w:rsid w:val="00F537FC"/>
    <w:pPr>
      <w:spacing w:after="0" w:line="240" w:lineRule="auto"/>
    </w:pPr>
  </w:style>
  <w:style w:type="paragraph" w:styleId="Onderwerpvanopmerking">
    <w:name w:val="annotation subject"/>
    <w:basedOn w:val="Tekstopmerking"/>
    <w:next w:val="Tekstopmerking"/>
    <w:link w:val="OnderwerpvanopmerkingChar"/>
    <w:uiPriority w:val="99"/>
    <w:semiHidden/>
    <w:unhideWhenUsed/>
    <w:locked/>
    <w:rsid w:val="00AA6E02"/>
    <w:pPr>
      <w:spacing w:before="120" w:after="0"/>
      <w:jc w:val="both"/>
    </w:pPr>
    <w:rPr>
      <w:rFonts w:ascii="Lato" w:hAnsi="Lato"/>
      <w:b/>
      <w:bCs/>
      <w:lang w:val="nl-BE"/>
    </w:rPr>
  </w:style>
  <w:style w:type="character" w:customStyle="1" w:styleId="OnderwerpvanopmerkingChar">
    <w:name w:val="Onderwerp van opmerking Char"/>
    <w:basedOn w:val="TekstopmerkingChar"/>
    <w:link w:val="Onderwerpvanopmerking"/>
    <w:uiPriority w:val="99"/>
    <w:semiHidden/>
    <w:rsid w:val="00AA6E02"/>
    <w:rPr>
      <w:rFonts w:ascii="Lato" w:hAnsi="Lato"/>
      <w:b/>
      <w:bCs/>
      <w:sz w:val="20"/>
      <w:szCs w:val="20"/>
      <w:lang w:val="nl-BE"/>
    </w:rPr>
  </w:style>
  <w:style w:type="paragraph" w:styleId="Revisie">
    <w:name w:val="Revision"/>
    <w:hidden/>
    <w:uiPriority w:val="99"/>
    <w:semiHidden/>
    <w:rsid w:val="00A64919"/>
    <w:pPr>
      <w:spacing w:after="0" w:line="240" w:lineRule="auto"/>
    </w:pPr>
    <w:rPr>
      <w:rFonts w:ascii="Lato" w:hAnsi="Lato"/>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justice.just.fgov.be/eli/besluit/2022/03/09/2022020506/justel" TargetMode="External"/><Relationship Id="rId21" Type="http://schemas.openxmlformats.org/officeDocument/2006/relationships/image" Target="media/image8.emf"/><Relationship Id="rId42" Type="http://schemas.openxmlformats.org/officeDocument/2006/relationships/hyperlink" Target="https://bosa.belgium.be/nl/themas/overheids-opdrachten/federaal-aankoopbeleid/strategisch-federaal-aankoopoverleg" TargetMode="External"/><Relationship Id="rId47" Type="http://schemas.openxmlformats.org/officeDocument/2006/relationships/hyperlink" Target="https://bosa.belgium.be/nl/themas/overheids-opdrachten/enkele-basisbegrippen/wat-een-elektronische-factuur" TargetMode="External"/><Relationship Id="rId63" Type="http://schemas.openxmlformats.org/officeDocument/2006/relationships/hyperlink" Target="https://www.bimportal.be/nl/standaard-taken-lijst-stl/" TargetMode="External"/><Relationship Id="rId68" Type="http://schemas.openxmlformats.org/officeDocument/2006/relationships/hyperlink" Target="http://www.ejustice.just.fgov.be/eli/wet/2016/06/17/2016021053/justel" TargetMode="External"/><Relationship Id="rId84" Type="http://schemas.openxmlformats.org/officeDocument/2006/relationships/hyperlink" Target="http://www.ejustice.just.fgov.be/eli/besluit/2017/04/18/2017020322/justel" TargetMode="External"/><Relationship Id="rId89" Type="http://schemas.openxmlformats.org/officeDocument/2006/relationships/hyperlink" Target="https://www.siod.belgie.be/sites/default/files/Downloads/Sociale%20dumping/sociale_dumping_gids_en_charter.pdf" TargetMode="External"/><Relationship Id="rId112" Type="http://schemas.openxmlformats.org/officeDocument/2006/relationships/hyperlink" Target="https://bestat.statbel.fgov.be/bestat/index.xhtml" TargetMode="External"/><Relationship Id="rId16" Type="http://schemas.openxmlformats.org/officeDocument/2006/relationships/image" Target="media/image5.emf"/><Relationship Id="rId107" Type="http://schemas.openxmlformats.org/officeDocument/2006/relationships/hyperlink" Target="https://bosa.belgium.be/nl/themas/overheids-opdrachten/federaal-aankoopbeleid/gemeenschappelijke-overeenkomsten/overzicht" TargetMode="External"/><Relationship Id="rId11" Type="http://schemas.openxmlformats.org/officeDocument/2006/relationships/header" Target="header1.xml"/><Relationship Id="rId32" Type="http://schemas.openxmlformats.org/officeDocument/2006/relationships/footer" Target="footer5.xml"/><Relationship Id="rId37" Type="http://schemas.openxmlformats.org/officeDocument/2006/relationships/hyperlink" Target="https://www.ejustice.just.fgov.be/cgi_loi/change_lg.pl?cn=2016061719&amp;la=N&amp;language=nl&amp;table_name=wet" TargetMode="External"/><Relationship Id="rId53" Type="http://schemas.openxmlformats.org/officeDocument/2006/relationships/hyperlink" Target="http://www.ejustice.just.fgov.be/eli/wet/2014/05/05/2014203384/justel" TargetMode="External"/><Relationship Id="rId58" Type="http://schemas.openxmlformats.org/officeDocument/2006/relationships/hyperlink" Target="https://bosa.belgium.be/nl/nieuwsbrieven" TargetMode="External"/><Relationship Id="rId74" Type="http://schemas.openxmlformats.org/officeDocument/2006/relationships/hyperlink" Target="https://eur-lex.europa.eu/legal-content/NL/ALL/?uri=CELEX%3A52021XC0706%2803%29" TargetMode="External"/><Relationship Id="rId79" Type="http://schemas.openxmlformats.org/officeDocument/2006/relationships/hyperlink" Target="http://www.ejustice.just.fgov.be/eli/wet/2016/06/17/2016021053/justel" TargetMode="External"/><Relationship Id="rId102" Type="http://schemas.openxmlformats.org/officeDocument/2006/relationships/hyperlink" Target="http://www.ejustice.just.fgov.be/eli/wet/2016/06/17/2016021053/justel" TargetMode="External"/><Relationship Id="rId123" Type="http://schemas.openxmlformats.org/officeDocument/2006/relationships/hyperlink" Target="https://www.ejustice.just.fgov.be/mopdf/2022/10/03_1.pdf"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gidsvoorduurzameaankopen.be/nl" TargetMode="External"/><Relationship Id="rId95" Type="http://schemas.openxmlformats.org/officeDocument/2006/relationships/hyperlink" Target="https://www.ejustice.just.fgov.be/cgi_loi/change_lg.pl?cn=2016061719&amp;la=N&amp;language=nl&amp;table_name=wet" TargetMode="External"/><Relationship Id="rId22" Type="http://schemas.openxmlformats.org/officeDocument/2006/relationships/image" Target="media/image9.emf"/><Relationship Id="rId27" Type="http://schemas.openxmlformats.org/officeDocument/2006/relationships/header" Target="header2.xml"/><Relationship Id="rId43" Type="http://schemas.openxmlformats.org/officeDocument/2006/relationships/hyperlink" Target="http://www.ejustice.just.fgov.be/eli/besluit/2022/03/09/2022020506/justel" TargetMode="External"/><Relationship Id="rId48" Type="http://schemas.openxmlformats.org/officeDocument/2006/relationships/hyperlink" Target="https://bosa.belgium.be/nl/news/het-staatsblad-koninklijk-besluit-borgtocht-en-elektronische-facturering" TargetMode="External"/><Relationship Id="rId64" Type="http://schemas.openxmlformats.org/officeDocument/2006/relationships/hyperlink" Target="http://www.ejustice.just.fgov.be/eli/besluit/2017/04/18/2017020322/justel" TargetMode="External"/><Relationship Id="rId69" Type="http://schemas.openxmlformats.org/officeDocument/2006/relationships/hyperlink" Target="https://eur-lex.europa.eu/legal-content/NL/ALL/?uri=CELEX%3A52021XC0706%2803%29" TargetMode="External"/><Relationship Id="rId113" Type="http://schemas.openxmlformats.org/officeDocument/2006/relationships/hyperlink" Target="http://www.ejustice.just.fgov.be/eli/wet/2016/06/17/2016021053/justel" TargetMode="External"/><Relationship Id="rId118" Type="http://schemas.openxmlformats.org/officeDocument/2006/relationships/hyperlink" Target="https://www.ejustice.just.fgov.be/eli/besluit/2023/07/21/2023044347/justel" TargetMode="External"/><Relationship Id="rId80" Type="http://schemas.openxmlformats.org/officeDocument/2006/relationships/hyperlink" Target="http://www.ejustice.just.fgov.be/eli/wet/2016/06/17/2016021053/justel" TargetMode="External"/><Relationship Id="rId85" Type="http://schemas.openxmlformats.org/officeDocument/2006/relationships/hyperlink" Target="https://economie.fgov.be/nl/themas/ondernemingen/specifieke-sectoren/bouw/erkenning-van-aannemers" TargetMode="External"/><Relationship Id="rId12" Type="http://schemas.openxmlformats.org/officeDocument/2006/relationships/footer" Target="footer1.xml"/><Relationship Id="rId17" Type="http://schemas.openxmlformats.org/officeDocument/2006/relationships/image" Target="media/image6.emf"/><Relationship Id="rId33" Type="http://schemas.openxmlformats.org/officeDocument/2006/relationships/footer" Target="footer6.xml"/><Relationship Id="rId38" Type="http://schemas.openxmlformats.org/officeDocument/2006/relationships/hyperlink" Target="http://www.ejustice.just.fgov.be/eli/besluit/2023/07/21/2023044347/justel" TargetMode="External"/><Relationship Id="rId59" Type="http://schemas.openxmlformats.org/officeDocument/2006/relationships/hyperlink" Target="http://www.ejustice.just.fgov.be/eli/wet/2016/06/17/2016021053/justel" TargetMode="External"/><Relationship Id="rId103" Type="http://schemas.openxmlformats.org/officeDocument/2006/relationships/hyperlink" Target="https://www.ejustice.just.fgov.be/mopdf/2022/10/03_1.pdf" TargetMode="External"/><Relationship Id="rId108" Type="http://schemas.openxmlformats.org/officeDocument/2006/relationships/image" Target="media/image13.png"/><Relationship Id="rId124" Type="http://schemas.openxmlformats.org/officeDocument/2006/relationships/hyperlink" Target="https://www.ejustice.just.fgov.be/eli/besluit/2023/07/21/2023044347/justel" TargetMode="External"/><Relationship Id="rId129" Type="http://schemas.openxmlformats.org/officeDocument/2006/relationships/theme" Target="theme/theme1.xml"/><Relationship Id="rId54" Type="http://schemas.openxmlformats.org/officeDocument/2006/relationships/hyperlink" Target="https://bosa.belgium.be/nl/applications/ecertis" TargetMode="External"/><Relationship Id="rId70" Type="http://schemas.openxmlformats.org/officeDocument/2006/relationships/hyperlink" Target="http://www.ejustice.just.fgov.be/eli/wet/2016/06/17/2016021053/justel" TargetMode="External"/><Relationship Id="rId75" Type="http://schemas.openxmlformats.org/officeDocument/2006/relationships/image" Target="media/image12.png"/><Relationship Id="rId91" Type="http://schemas.openxmlformats.org/officeDocument/2006/relationships/hyperlink" Target="http://www.ejustice.just.fgov.be/eli/wet/2016/06/17/2016021053/justel" TargetMode="External"/><Relationship Id="rId96" Type="http://schemas.openxmlformats.org/officeDocument/2006/relationships/hyperlink" Target="http://www.ejustice.just.fgov.be/eli/besluit/2013/01/14/2013021005/juste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instagram.com/fodeconomie/" TargetMode="External"/><Relationship Id="rId28" Type="http://schemas.openxmlformats.org/officeDocument/2006/relationships/footer" Target="footer3.xml"/><Relationship Id="rId49" Type="http://schemas.openxmlformats.org/officeDocument/2006/relationships/hyperlink" Target="https://bosa.belgium.be/nl/themas/overheids-opdrachten/een-elektronische-factuur-opmaken-ontvangen-en-mogelijk-maken" TargetMode="External"/><Relationship Id="rId114" Type="http://schemas.openxmlformats.org/officeDocument/2006/relationships/hyperlink" Target="http://www.ejustice.just.fgov.be/eli/besluit/2017/04/18/2017020322/justel" TargetMode="External"/><Relationship Id="rId119" Type="http://schemas.openxmlformats.org/officeDocument/2006/relationships/hyperlink" Target="https://www.ejustice.just.fgov.be/eli/besluit/2023/09/04/2023045155/justel" TargetMode="External"/><Relationship Id="rId44" Type="http://schemas.openxmlformats.org/officeDocument/2006/relationships/hyperlink" Target="https://bosa.belgium.be/nl/themas/overheids-opdrachten/applicaties/e-procurement-link-naar-de-verschillende-applicaties" TargetMode="External"/><Relationship Id="rId60" Type="http://schemas.openxmlformats.org/officeDocument/2006/relationships/hyperlink" Target="https://bosa.belgium.be/sites/default/files/documents/praktische_fiche_marktconsultatie_.pdf" TargetMode="External"/><Relationship Id="rId65" Type="http://schemas.openxmlformats.org/officeDocument/2006/relationships/hyperlink" Target="https://www.ejustice.just.fgov.be/eli/besluit/2017/04/18/2017020322/justel" TargetMode="External"/><Relationship Id="rId81" Type="http://schemas.openxmlformats.org/officeDocument/2006/relationships/hyperlink" Target="http://www.ejustice.just.fgov.be/eli/besluit/2017/04/18/2017020322/justel" TargetMode="External"/><Relationship Id="rId86" Type="http://schemas.openxmlformats.org/officeDocument/2006/relationships/hyperlink" Target="https://bosa.belgium.be/nl/themas/overheids-opdrachten/marktkenniscentrum/prijsherziening-bij-overheidsopdrachten" TargetMode="External"/><Relationship Id="rId13" Type="http://schemas.openxmlformats.org/officeDocument/2006/relationships/footer" Target="footer2.xml"/><Relationship Id="rId18" Type="http://schemas.openxmlformats.org/officeDocument/2006/relationships/hyperlink" Target="https://www.facebook.com/FODEconomie" TargetMode="External"/><Relationship Id="rId39" Type="http://schemas.openxmlformats.org/officeDocument/2006/relationships/hyperlink" Target="http://www.ejustice.just.fgov.be/eli/besluit/2023/07/21/2023044347/justel" TargetMode="External"/><Relationship Id="rId109" Type="http://schemas.openxmlformats.org/officeDocument/2006/relationships/image" Target="media/image14.png"/><Relationship Id="rId34" Type="http://schemas.openxmlformats.org/officeDocument/2006/relationships/hyperlink" Target="https://economie.fgov.be/nl/themas/ondernemingen/een-onderneming-beheren-en/toegang-van-kmos-tot/het-gemeenschappelijke" TargetMode="External"/><Relationship Id="rId50" Type="http://schemas.openxmlformats.org/officeDocument/2006/relationships/hyperlink" Target="https://bosa.belgium.be/nl/themas/overheids-opdrachten/hoe-een-elektronische-factuur-opmaken-ontvangen-en-faciliteren/hoe-0" TargetMode="External"/><Relationship Id="rId55" Type="http://schemas.openxmlformats.org/officeDocument/2006/relationships/hyperlink" Target="https://www.ejustice.just.fgov.be/eli/besluit/2017/04/18/2017020322/justel" TargetMode="External"/><Relationship Id="rId76" Type="http://schemas.openxmlformats.org/officeDocument/2006/relationships/hyperlink" Target="http://www.ejustice.just.fgov.be/eli/wet/2016/06/17/2016021053/justel" TargetMode="External"/><Relationship Id="rId97" Type="http://schemas.openxmlformats.org/officeDocument/2006/relationships/hyperlink" Target="https://www.ejustice.just.fgov.be/eli/besluit/2017/04/18/2017020322/justel" TargetMode="External"/><Relationship Id="rId104" Type="http://schemas.openxmlformats.org/officeDocument/2006/relationships/hyperlink" Target="https://www.ejustice.just.fgov.be/mopdf/2022/10/03_1.pdf" TargetMode="External"/><Relationship Id="rId120" Type="http://schemas.openxmlformats.org/officeDocument/2006/relationships/hyperlink" Target="http://www.ejustice.just.fgov.be/eli/besluit/2022/05/20/2022041447/justel" TargetMode="External"/><Relationship Id="rId125" Type="http://schemas.openxmlformats.org/officeDocument/2006/relationships/hyperlink" Target="http://www.ejustice.just.fgov.be/eli/wet/2023/02/08/2023200862/justel" TargetMode="External"/><Relationship Id="rId7" Type="http://schemas.openxmlformats.org/officeDocument/2006/relationships/settings" Target="settings.xml"/><Relationship Id="rId71" Type="http://schemas.openxmlformats.org/officeDocument/2006/relationships/hyperlink" Target="http://www.ejustice.just.fgov.be/eli/besluit/2013/01/14/2013021005/justel" TargetMode="External"/><Relationship Id="rId92" Type="http://schemas.openxmlformats.org/officeDocument/2006/relationships/hyperlink" Target="https://bosa.belgium.be/sites/default/files/documents/2013_06_17_loi_recours_wet_verhaal_vers_2022docx%20Loi%2017%20juin%202013%20-%20version%20coordonn%C3%A9e%20au%201er%20janvier%202022.pdf" TargetMode="External"/><Relationship Id="rId2" Type="http://schemas.openxmlformats.org/officeDocument/2006/relationships/customXml" Target="../customXml/item2.xml"/><Relationship Id="rId29" Type="http://schemas.openxmlformats.org/officeDocument/2006/relationships/header" Target="header3.xml"/><Relationship Id="rId24" Type="http://schemas.openxmlformats.org/officeDocument/2006/relationships/image" Target="media/image10.emf"/><Relationship Id="rId40" Type="http://schemas.openxmlformats.org/officeDocument/2006/relationships/hyperlink" Target="http://www.ejustice.just.fgov.be/eli/wet/2016/06/17/2016021053/justel" TargetMode="External"/><Relationship Id="rId45" Type="http://schemas.openxmlformats.org/officeDocument/2006/relationships/hyperlink" Target="https://bosa.belgium.be/nl/themas/overheids-opdrachten/applicaties/nieuw-e-procurement-platform" TargetMode="External"/><Relationship Id="rId66" Type="http://schemas.openxmlformats.org/officeDocument/2006/relationships/hyperlink" Target="https://bosa.service-now.com/eprocurement?id=kb_article_view&amp;sys_kb_id=12c571811bc9b1143ff06421b24bcbf7" TargetMode="External"/><Relationship Id="rId87" Type="http://schemas.openxmlformats.org/officeDocument/2006/relationships/hyperlink" Target="http://www.ejustice.just.fgov.be/eli/wet/2016/06/17/2016021053/justel" TargetMode="External"/><Relationship Id="rId110" Type="http://schemas.openxmlformats.org/officeDocument/2006/relationships/hyperlink" Target="https://economie.fgov.be/nl/themas/ondernemingen/kmos-en-zelfstandigen-cijfers" TargetMode="External"/><Relationship Id="rId115" Type="http://schemas.openxmlformats.org/officeDocument/2006/relationships/hyperlink" Target="http://www.ejustice.just.fgov.be/eli/besluit/2013/01/14/2013021005/justel" TargetMode="External"/><Relationship Id="rId61" Type="http://schemas.openxmlformats.org/officeDocument/2006/relationships/hyperlink" Target="https://www.nidolab.be/nido/nl/" TargetMode="External"/><Relationship Id="rId82" Type="http://schemas.openxmlformats.org/officeDocument/2006/relationships/hyperlink" Target="http://www.ejustice.just.fgov.be/eli/besluit/2023/09/04/2023045155/justel" TargetMode="External"/><Relationship Id="rId19" Type="http://schemas.openxmlformats.org/officeDocument/2006/relationships/image" Target="media/image7.emf"/><Relationship Id="rId14" Type="http://schemas.openxmlformats.org/officeDocument/2006/relationships/image" Target="media/image1.emf"/><Relationship Id="rId30" Type="http://schemas.openxmlformats.org/officeDocument/2006/relationships/footer" Target="footer4.xml"/><Relationship Id="rId35" Type="http://schemas.openxmlformats.org/officeDocument/2006/relationships/hyperlink" Target="http://www.ejustice.just.fgov.be/eli/besluit/2013/04/03/2013021025/justel" TargetMode="External"/><Relationship Id="rId56" Type="http://schemas.openxmlformats.org/officeDocument/2006/relationships/hyperlink" Target="https://www.ejustice.just.fgov.be/eli/wet/2016/06/17/2016021053/justel" TargetMode="External"/><Relationship Id="rId77" Type="http://schemas.openxmlformats.org/officeDocument/2006/relationships/hyperlink" Target="http://www.ejustice.just.fgov.be/eli/besluit/2017/04/18/2017020322/justel" TargetMode="External"/><Relationship Id="rId100" Type="http://schemas.openxmlformats.org/officeDocument/2006/relationships/hyperlink" Target="http://www.ejustice.just.fgov.be/eli/besluit/2023/07/21/2023044347/justel" TargetMode="External"/><Relationship Id="rId105" Type="http://schemas.openxmlformats.org/officeDocument/2006/relationships/hyperlink" Target="https://bosa.belgium.be/nl/themas/overheids-opdrachten/opleidingen/de-verschillende-types-opleidingen" TargetMode="External"/><Relationship Id="rId126" Type="http://schemas.openxmlformats.org/officeDocument/2006/relationships/hyperlink" Target="http://www.ejustice.just.fgov.be/eli/besluit/2023/08/13/2023203968/justel" TargetMode="External"/><Relationship Id="rId8" Type="http://schemas.openxmlformats.org/officeDocument/2006/relationships/webSettings" Target="webSettings.xml"/><Relationship Id="rId51" Type="http://schemas.openxmlformats.org/officeDocument/2006/relationships/hyperlink" Target="https://bosa.service-now.com/eprocurement" TargetMode="External"/><Relationship Id="rId72" Type="http://schemas.openxmlformats.org/officeDocument/2006/relationships/hyperlink" Target="http://www.ejustice.just.fgov.be/eli/wet/2016/06/17/2016021053/justel" TargetMode="External"/><Relationship Id="rId93" Type="http://schemas.openxmlformats.org/officeDocument/2006/relationships/hyperlink" Target="https://bosa.belgium.be/nl/themas/overheids-opdrachten/templates" TargetMode="External"/><Relationship Id="rId98" Type="http://schemas.openxmlformats.org/officeDocument/2006/relationships/hyperlink" Target="http://www.ejustice.just.fgov.be/eli/wet/2023/02/08/2023200862/justel" TargetMode="External"/><Relationship Id="rId121" Type="http://schemas.openxmlformats.org/officeDocument/2006/relationships/hyperlink" Target="https://www.ejustice.just.fgov.be/eli/besluit/2023/09/04/2023045155/justel" TargetMode="External"/><Relationship Id="rId3" Type="http://schemas.openxmlformats.org/officeDocument/2006/relationships/customXml" Target="../customXml/item3.xml"/><Relationship Id="rId25" Type="http://schemas.openxmlformats.org/officeDocument/2006/relationships/hyperlink" Target="file://mineco2000/dfs-eco/S4/0443-Impr-Druk/Projets/004-18%20Charte%20graphique%20SPF/brochure_word/youtube.com/user/FODEconomie" TargetMode="External"/><Relationship Id="rId46" Type="http://schemas.openxmlformats.org/officeDocument/2006/relationships/hyperlink" Target="https://www.ejustice.just.fgov.be/eli/besluit/2022/03/09/2022020506/justel" TargetMode="External"/><Relationship Id="rId67" Type="http://schemas.openxmlformats.org/officeDocument/2006/relationships/hyperlink" Target="https://www.bimportal.be/nl/standaard-taken-lijst-stl/" TargetMode="External"/><Relationship Id="rId116" Type="http://schemas.openxmlformats.org/officeDocument/2006/relationships/hyperlink" Target="https://www.ejustice.just.fgov.be/eli/besluit/2023/07/21/2023044347/justel" TargetMode="External"/><Relationship Id="rId20" Type="http://schemas.openxmlformats.org/officeDocument/2006/relationships/hyperlink" Target="https://twitter.com/fodeconomie" TargetMode="External"/><Relationship Id="rId41" Type="http://schemas.openxmlformats.org/officeDocument/2006/relationships/hyperlink" Target="https://bosa.belgium.be/nl/themas/overheids-opdrachten/federaal-aankoopbeleid" TargetMode="External"/><Relationship Id="rId62" Type="http://schemas.openxmlformats.org/officeDocument/2006/relationships/hyperlink" Target="https://bosa.belgium.be/sites/default/files/documents/praktische_fiche_marktconsultatie_.pdf" TargetMode="External"/><Relationship Id="rId83" Type="http://schemas.openxmlformats.org/officeDocument/2006/relationships/hyperlink" Target="http://www.ejustice.just.fgov.be/eli/besluit/2013/01/14/2013021005/justel" TargetMode="External"/><Relationship Id="rId88" Type="http://schemas.openxmlformats.org/officeDocument/2006/relationships/hyperlink" Target="http://www.ejustice.just.fgov.be/eli/besluit/2017/04/18/2017020322/justel" TargetMode="External"/><Relationship Id="rId111" Type="http://schemas.openxmlformats.org/officeDocument/2006/relationships/hyperlink" Target="https://statbel.fgov.be/nl/themas/ondernemingen" TargetMode="External"/><Relationship Id="rId15" Type="http://schemas.openxmlformats.org/officeDocument/2006/relationships/image" Target="media/image4.emf"/><Relationship Id="rId36" Type="http://schemas.openxmlformats.org/officeDocument/2006/relationships/hyperlink" Target="http://www.ejustice.just.fgov.be/eli/besluit/2023/07/21/2023044347/justel" TargetMode="External"/><Relationship Id="rId57" Type="http://schemas.openxmlformats.org/officeDocument/2006/relationships/hyperlink" Target="https://bosa.belgium.be/nl/applications/uniform-europees-aanbestedingsdocument-uea" TargetMode="External"/><Relationship Id="rId106" Type="http://schemas.openxmlformats.org/officeDocument/2006/relationships/hyperlink" Target="https://bosa.belgium.be/nl/themas/overheids-opdrachten/opleidingen/geaccrediteerde-opleiders-opleidingsorganisaties-en" TargetMode="External"/><Relationship Id="rId127" Type="http://schemas.openxmlformats.org/officeDocument/2006/relationships/hyperlink" Target="https://www.ejustice.just.fgov.be/eli/besluit/2023/07/21/2023044347/justel" TargetMode="External"/><Relationship Id="rId10" Type="http://schemas.openxmlformats.org/officeDocument/2006/relationships/endnotes" Target="endnotes.xml"/><Relationship Id="rId31" Type="http://schemas.openxmlformats.org/officeDocument/2006/relationships/header" Target="header4.xml"/><Relationship Id="rId52" Type="http://schemas.openxmlformats.org/officeDocument/2006/relationships/hyperlink" Target="https://bosa.belgium.be/nl/applications/telemarc" TargetMode="External"/><Relationship Id="rId73" Type="http://schemas.openxmlformats.org/officeDocument/2006/relationships/hyperlink" Target="http://www.ejustice.just.fgov.be/eli/besluit/2017/04/18/2017020322/justel" TargetMode="External"/><Relationship Id="rId78" Type="http://schemas.openxmlformats.org/officeDocument/2006/relationships/hyperlink" Target="https://www.ejustice.just.fgov.be/eli/besluit/2022/05/20/2022041447/justel" TargetMode="External"/><Relationship Id="rId94" Type="http://schemas.openxmlformats.org/officeDocument/2006/relationships/hyperlink" Target="https://bosa.belgium.be/nl/themas/overheids-opdrachten/templates" TargetMode="External"/><Relationship Id="rId99" Type="http://schemas.openxmlformats.org/officeDocument/2006/relationships/hyperlink" Target="https://www.ejustice.just.fgov.be/mopdf/2022/10/03_1.pdf" TargetMode="External"/><Relationship Id="rId101" Type="http://schemas.openxmlformats.org/officeDocument/2006/relationships/hyperlink" Target="https://bosa.belgium.be/nl/themas/overheids-opdrachten/marktkenniscentrum/overheidsopdrachten-van-beperkte-waarde-klassieke" TargetMode="External"/><Relationship Id="rId122" Type="http://schemas.openxmlformats.org/officeDocument/2006/relationships/hyperlink" Target="http://www.ejustice.just.fgov.be/eli/wet/2013/06/17/2013203640/staatsblad"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1.emf"/></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8" Type="http://schemas.openxmlformats.org/officeDocument/2006/relationships/hyperlink" Target="https://bosa.belgium.be/nl/themas/overheids-opdrachten/reglementering/toezichtrapporten" TargetMode="External"/><Relationship Id="rId3" Type="http://schemas.openxmlformats.org/officeDocument/2006/relationships/hyperlink" Target="https://www.siod.belgie.be/nl/sociale-fraude/sociale-dumping" TargetMode="External"/><Relationship Id="rId7" Type="http://schemas.openxmlformats.org/officeDocument/2006/relationships/hyperlink" Target="http://www.ejustice.just.fgov.be/eli/wet/2016/06/17/2016021053/justel" TargetMode="External"/><Relationship Id="rId2" Type="http://schemas.openxmlformats.org/officeDocument/2006/relationships/hyperlink" Target="https://www.ejustice.just.fgov.be/cgi_loi/change_lg.pl?language=nl&amp;la=N&amp;table_name=wet&amp;cn=2021120804" TargetMode="External"/><Relationship Id="rId1" Type="http://schemas.openxmlformats.org/officeDocument/2006/relationships/hyperlink" Target="https://bosa.belgium.be/nl/themas/overheids-opdrachten/fasen-van-een-opdracht/publicatie/publicatie-van-een-overheidsopdracht" TargetMode="External"/><Relationship Id="rId6" Type="http://schemas.openxmlformats.org/officeDocument/2006/relationships/hyperlink" Target="https://ec.europa.eu/growth/smes/business-friendly-environment/sme-definition_nl" TargetMode="External"/><Relationship Id="rId5" Type="http://schemas.openxmlformats.org/officeDocument/2006/relationships/hyperlink" Target="https://gidsvoorduurzameaankopen.be/nl/milieu/levenscycluskost" TargetMode="External"/><Relationship Id="rId4" Type="http://schemas.openxmlformats.org/officeDocument/2006/relationships/hyperlink" Target="https://gidsvoorduurzameaankopen.be/nl/economie/levenscycluskosten-art-82-van-de-wetgeving-van-17-juni-2016" TargetMode="External"/><Relationship Id="rId9" Type="http://schemas.openxmlformats.org/officeDocument/2006/relationships/hyperlink" Target="https://bosa.belgium.be/nl/themas/overheids-opdrachten/federaal-aankoopbeleid/model-en-doelstell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128E92D260B34EBA55B0128AF20A58" ma:contentTypeVersion="22" ma:contentTypeDescription="Create a new document." ma:contentTypeScope="" ma:versionID="657ec994c7976cba04c03156b79534a8">
  <xsd:schema xmlns:xsd="http://www.w3.org/2001/XMLSchema" xmlns:xs="http://www.w3.org/2001/XMLSchema" xmlns:p="http://schemas.microsoft.com/office/2006/metadata/properties" xmlns:ns2="81113b29-037e-4e36-9a5c-77ba7d66c289" xmlns:ns3="a5a79b53-f560-45c0-9350-5a5b13461b41" xmlns:ns4="8ba5e147-f473-4b48-ad3b-27920609ae74" targetNamespace="http://schemas.microsoft.com/office/2006/metadata/properties" ma:root="true" ma:fieldsID="96fbc2b6c885933d18eb787858555542" ns2:_="" ns3:_="" ns4:_="">
    <xsd:import namespace="81113b29-037e-4e36-9a5c-77ba7d66c289"/>
    <xsd:import namespace="a5a79b53-f560-45c0-9350-5a5b13461b41"/>
    <xsd:import namespace="8ba5e147-f473-4b48-ad3b-27920609ae74"/>
    <xsd:element name="properties">
      <xsd:complexType>
        <xsd:sequence>
          <xsd:element name="documentManagement">
            <xsd:complexType>
              <xsd:all>
                <xsd:element ref="ns2:Commentaire" minOccurs="0"/>
                <xsd:element ref="ns2:Remarqu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Contenu" minOccurs="0"/>
                <xsd:element ref="ns2:lcf76f155ced4ddcb4097134ff3c332f" minOccurs="0"/>
                <xsd:element ref="ns4:TaxCatchAll"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13b29-037e-4e36-9a5c-77ba7d66c289" elementFormDefault="qualified">
    <xsd:import namespace="http://schemas.microsoft.com/office/2006/documentManagement/types"/>
    <xsd:import namespace="http://schemas.microsoft.com/office/infopath/2007/PartnerControls"/>
    <xsd:element name="Commentaire" ma:index="4" nillable="true" ma:displayName="Commentaire" ma:internalName="Commentaire" ma:readOnly="false">
      <xsd:simpleType>
        <xsd:restriction base="dms:Text">
          <xsd:maxLength value="255"/>
        </xsd:restriction>
      </xsd:simpleType>
    </xsd:element>
    <xsd:element name="Remarque" ma:index="5" nillable="true" ma:displayName="Remarque" ma:internalName="Remarqu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ntenu" ma:index="20" nillable="true" ma:displayName="Contenu" ma:format="Dropdown" ma:internalName="Contenu">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a79b53-f560-45c0-9350-5a5b13461b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5e147-f473-4b48-ad3b-27920609ae7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c354b41-362e-4896-8faa-e64f92ad8d71}" ma:internalName="TaxCatchAll" ma:showField="CatchAllData" ma:web="8ba5e147-f473-4b48-ad3b-27920609a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ba5e147-f473-4b48-ad3b-27920609ae74" xsi:nil="true"/>
    <Contenu xmlns="81113b29-037e-4e36-9a5c-77ba7d66c289" xsi:nil="true"/>
    <lcf76f155ced4ddcb4097134ff3c332f xmlns="81113b29-037e-4e36-9a5c-77ba7d66c289">
      <Terms xmlns="http://schemas.microsoft.com/office/infopath/2007/PartnerControls"/>
    </lcf76f155ced4ddcb4097134ff3c332f>
    <Remarque xmlns="81113b29-037e-4e36-9a5c-77ba7d66c289" xsi:nil="true"/>
    <Commentaire xmlns="81113b29-037e-4e36-9a5c-77ba7d66c2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28E4-BBFD-441D-AADF-587F7FA37BCF}">
  <ds:schemaRefs>
    <ds:schemaRef ds:uri="http://schemas.microsoft.com/sharepoint/v3/contenttype/forms"/>
  </ds:schemaRefs>
</ds:datastoreItem>
</file>

<file path=customXml/itemProps2.xml><?xml version="1.0" encoding="utf-8"?>
<ds:datastoreItem xmlns:ds="http://schemas.openxmlformats.org/officeDocument/2006/customXml" ds:itemID="{BB11BBB4-BF18-4AEB-916E-C84C852F2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13b29-037e-4e36-9a5c-77ba7d66c289"/>
    <ds:schemaRef ds:uri="a5a79b53-f560-45c0-9350-5a5b13461b41"/>
    <ds:schemaRef ds:uri="8ba5e147-f473-4b48-ad3b-27920609a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8BBCB-D640-496D-85BE-431C173A0678}">
  <ds:schemaRefs>
    <ds:schemaRef ds:uri="http://schemas.microsoft.com/office/2006/metadata/properties"/>
    <ds:schemaRef ds:uri="http://schemas.microsoft.com/office/infopath/2007/PartnerControls"/>
    <ds:schemaRef ds:uri="8ba5e147-f473-4b48-ad3b-27920609ae74"/>
    <ds:schemaRef ds:uri="81113b29-037e-4e36-9a5c-77ba7d66c289"/>
  </ds:schemaRefs>
</ds:datastoreItem>
</file>

<file path=customXml/itemProps4.xml><?xml version="1.0" encoding="utf-8"?>
<ds:datastoreItem xmlns:ds="http://schemas.openxmlformats.org/officeDocument/2006/customXml" ds:itemID="{D523CA1B-9CC9-492B-8BAF-D0561D7D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100</Pages>
  <Words>57962</Words>
  <Characters>318792</Characters>
  <Application>Microsoft Office Word</Application>
  <DocSecurity>0</DocSecurity>
  <Lines>2656</Lines>
  <Paragraphs>752</Paragraphs>
  <ScaleCrop>false</ScaleCrop>
  <HeadingPairs>
    <vt:vector size="2" baseType="variant">
      <vt:variant>
        <vt:lpstr>Titel</vt:lpstr>
      </vt:variant>
      <vt:variant>
        <vt:i4>1</vt:i4>
      </vt:variant>
    </vt:vector>
  </HeadingPairs>
  <TitlesOfParts>
    <vt:vector size="1" baseType="lpstr">
      <vt:lpstr/>
    </vt:vector>
  </TitlesOfParts>
  <Company>FOD/SPF Economie</Company>
  <LinksUpToDate>false</LinksUpToDate>
  <CharactersWithSpaces>376002</CharactersWithSpaces>
  <SharedDoc>false</SharedDoc>
  <HLinks>
    <vt:vector size="1344" baseType="variant">
      <vt:variant>
        <vt:i4>6619260</vt:i4>
      </vt:variant>
      <vt:variant>
        <vt:i4>1005</vt:i4>
      </vt:variant>
      <vt:variant>
        <vt:i4>0</vt:i4>
      </vt:variant>
      <vt:variant>
        <vt:i4>5</vt:i4>
      </vt:variant>
      <vt:variant>
        <vt:lpwstr>https://www.ejustice.just.fgov.be/eli/besluit/2023/07/21/2023044347/justel</vt:lpwstr>
      </vt:variant>
      <vt:variant>
        <vt:lpwstr/>
      </vt:variant>
      <vt:variant>
        <vt:i4>1703956</vt:i4>
      </vt:variant>
      <vt:variant>
        <vt:i4>1002</vt:i4>
      </vt:variant>
      <vt:variant>
        <vt:i4>0</vt:i4>
      </vt:variant>
      <vt:variant>
        <vt:i4>5</vt:i4>
      </vt:variant>
      <vt:variant>
        <vt:lpwstr>http://www.ejustice.just.fgov.be/eli/besluit/2023/08/13/2023203968/justel</vt:lpwstr>
      </vt:variant>
      <vt:variant>
        <vt:lpwstr/>
      </vt:variant>
      <vt:variant>
        <vt:i4>589849</vt:i4>
      </vt:variant>
      <vt:variant>
        <vt:i4>999</vt:i4>
      </vt:variant>
      <vt:variant>
        <vt:i4>0</vt:i4>
      </vt:variant>
      <vt:variant>
        <vt:i4>5</vt:i4>
      </vt:variant>
      <vt:variant>
        <vt:lpwstr>http://www.ejustice.just.fgov.be/eli/wet/2023/02/08/2023200862/justel</vt:lpwstr>
      </vt:variant>
      <vt:variant>
        <vt:lpwstr/>
      </vt:variant>
      <vt:variant>
        <vt:i4>6619260</vt:i4>
      </vt:variant>
      <vt:variant>
        <vt:i4>996</vt:i4>
      </vt:variant>
      <vt:variant>
        <vt:i4>0</vt:i4>
      </vt:variant>
      <vt:variant>
        <vt:i4>5</vt:i4>
      </vt:variant>
      <vt:variant>
        <vt:lpwstr>https://www.ejustice.just.fgov.be/eli/besluit/2023/07/21/2023044347/justel</vt:lpwstr>
      </vt:variant>
      <vt:variant>
        <vt:lpwstr/>
      </vt:variant>
      <vt:variant>
        <vt:i4>2752589</vt:i4>
      </vt:variant>
      <vt:variant>
        <vt:i4>993</vt:i4>
      </vt:variant>
      <vt:variant>
        <vt:i4>0</vt:i4>
      </vt:variant>
      <vt:variant>
        <vt:i4>5</vt:i4>
      </vt:variant>
      <vt:variant>
        <vt:lpwstr>https://www.ejustice.just.fgov.be/mopdf/2022/10/03_1.pdf</vt:lpwstr>
      </vt:variant>
      <vt:variant>
        <vt:lpwstr>Page144</vt:lpwstr>
      </vt:variant>
      <vt:variant>
        <vt:i4>1703967</vt:i4>
      </vt:variant>
      <vt:variant>
        <vt:i4>990</vt:i4>
      </vt:variant>
      <vt:variant>
        <vt:i4>0</vt:i4>
      </vt:variant>
      <vt:variant>
        <vt:i4>5</vt:i4>
      </vt:variant>
      <vt:variant>
        <vt:lpwstr>http://www.ejustice.just.fgov.be/eli/wet/2013/06/17/2013203640/staatsblad</vt:lpwstr>
      </vt:variant>
      <vt:variant>
        <vt:lpwstr/>
      </vt:variant>
      <vt:variant>
        <vt:i4>6291568</vt:i4>
      </vt:variant>
      <vt:variant>
        <vt:i4>987</vt:i4>
      </vt:variant>
      <vt:variant>
        <vt:i4>0</vt:i4>
      </vt:variant>
      <vt:variant>
        <vt:i4>5</vt:i4>
      </vt:variant>
      <vt:variant>
        <vt:lpwstr>https://www.ejustice.just.fgov.be/eli/besluit/2023/09/04/2023045155/justel</vt:lpwstr>
      </vt:variant>
      <vt:variant>
        <vt:lpwstr/>
      </vt:variant>
      <vt:variant>
        <vt:i4>1245204</vt:i4>
      </vt:variant>
      <vt:variant>
        <vt:i4>984</vt:i4>
      </vt:variant>
      <vt:variant>
        <vt:i4>0</vt:i4>
      </vt:variant>
      <vt:variant>
        <vt:i4>5</vt:i4>
      </vt:variant>
      <vt:variant>
        <vt:lpwstr>http://www.ejustice.just.fgov.be/eli/besluit/2022/05/20/2022041447/justel</vt:lpwstr>
      </vt:variant>
      <vt:variant>
        <vt:lpwstr/>
      </vt:variant>
      <vt:variant>
        <vt:i4>6291568</vt:i4>
      </vt:variant>
      <vt:variant>
        <vt:i4>981</vt:i4>
      </vt:variant>
      <vt:variant>
        <vt:i4>0</vt:i4>
      </vt:variant>
      <vt:variant>
        <vt:i4>5</vt:i4>
      </vt:variant>
      <vt:variant>
        <vt:lpwstr>https://www.ejustice.just.fgov.be/eli/besluit/2023/09/04/2023045155/justel</vt:lpwstr>
      </vt:variant>
      <vt:variant>
        <vt:lpwstr/>
      </vt:variant>
      <vt:variant>
        <vt:i4>6619260</vt:i4>
      </vt:variant>
      <vt:variant>
        <vt:i4>978</vt:i4>
      </vt:variant>
      <vt:variant>
        <vt:i4>0</vt:i4>
      </vt:variant>
      <vt:variant>
        <vt:i4>5</vt:i4>
      </vt:variant>
      <vt:variant>
        <vt:lpwstr>https://www.ejustice.just.fgov.be/eli/besluit/2023/07/21/2023044347/justel</vt:lpwstr>
      </vt:variant>
      <vt:variant>
        <vt:lpwstr/>
      </vt:variant>
      <vt:variant>
        <vt:i4>7078010</vt:i4>
      </vt:variant>
      <vt:variant>
        <vt:i4>975</vt:i4>
      </vt:variant>
      <vt:variant>
        <vt:i4>0</vt:i4>
      </vt:variant>
      <vt:variant>
        <vt:i4>5</vt:i4>
      </vt:variant>
      <vt:variant>
        <vt:lpwstr>https://www.ejustice.just.fgov.be/eli/besluit/2022/03/09/2022020506/justel</vt:lpwstr>
      </vt:variant>
      <vt:variant>
        <vt:lpwstr/>
      </vt:variant>
      <vt:variant>
        <vt:i4>6619260</vt:i4>
      </vt:variant>
      <vt:variant>
        <vt:i4>972</vt:i4>
      </vt:variant>
      <vt:variant>
        <vt:i4>0</vt:i4>
      </vt:variant>
      <vt:variant>
        <vt:i4>5</vt:i4>
      </vt:variant>
      <vt:variant>
        <vt:lpwstr>https://www.ejustice.just.fgov.be/eli/besluit/2023/07/21/2023044347/justel</vt:lpwstr>
      </vt:variant>
      <vt:variant>
        <vt:lpwstr/>
      </vt:variant>
      <vt:variant>
        <vt:i4>1441814</vt:i4>
      </vt:variant>
      <vt:variant>
        <vt:i4>969</vt:i4>
      </vt:variant>
      <vt:variant>
        <vt:i4>0</vt:i4>
      </vt:variant>
      <vt:variant>
        <vt:i4>5</vt:i4>
      </vt:variant>
      <vt:variant>
        <vt:lpwstr>http://www.ejustice.just.fgov.be/eli/besluit/2013/01/14/2013021005/justel</vt:lpwstr>
      </vt:variant>
      <vt:variant>
        <vt:lpwstr/>
      </vt:variant>
      <vt:variant>
        <vt:i4>1245213</vt:i4>
      </vt:variant>
      <vt:variant>
        <vt:i4>966</vt:i4>
      </vt:variant>
      <vt:variant>
        <vt:i4>0</vt:i4>
      </vt:variant>
      <vt:variant>
        <vt:i4>5</vt:i4>
      </vt:variant>
      <vt:variant>
        <vt:lpwstr>http://www.ejustice.just.fgov.be/eli/besluit/2017/04/18/2017020322/justel</vt:lpwstr>
      </vt:variant>
      <vt:variant>
        <vt:lpwstr/>
      </vt:variant>
      <vt:variant>
        <vt:i4>65552</vt:i4>
      </vt:variant>
      <vt:variant>
        <vt:i4>963</vt:i4>
      </vt:variant>
      <vt:variant>
        <vt:i4>0</vt:i4>
      </vt:variant>
      <vt:variant>
        <vt:i4>5</vt:i4>
      </vt:variant>
      <vt:variant>
        <vt:lpwstr>http://www.ejustice.just.fgov.be/eli/wet/2016/06/17/2016021053/justel</vt:lpwstr>
      </vt:variant>
      <vt:variant>
        <vt:lpwstr/>
      </vt:variant>
      <vt:variant>
        <vt:i4>5570581</vt:i4>
      </vt:variant>
      <vt:variant>
        <vt:i4>960</vt:i4>
      </vt:variant>
      <vt:variant>
        <vt:i4>0</vt:i4>
      </vt:variant>
      <vt:variant>
        <vt:i4>5</vt:i4>
      </vt:variant>
      <vt:variant>
        <vt:lpwstr>https://bestat.statbel.fgov.be/bestat/index.xhtml</vt:lpwstr>
      </vt:variant>
      <vt:variant>
        <vt:lpwstr/>
      </vt:variant>
      <vt:variant>
        <vt:i4>3539003</vt:i4>
      </vt:variant>
      <vt:variant>
        <vt:i4>957</vt:i4>
      </vt:variant>
      <vt:variant>
        <vt:i4>0</vt:i4>
      </vt:variant>
      <vt:variant>
        <vt:i4>5</vt:i4>
      </vt:variant>
      <vt:variant>
        <vt:lpwstr>https://statbel.fgov.be/nl/themas/ondernemingen</vt:lpwstr>
      </vt:variant>
      <vt:variant>
        <vt:lpwstr/>
      </vt:variant>
      <vt:variant>
        <vt:i4>2883634</vt:i4>
      </vt:variant>
      <vt:variant>
        <vt:i4>954</vt:i4>
      </vt:variant>
      <vt:variant>
        <vt:i4>0</vt:i4>
      </vt:variant>
      <vt:variant>
        <vt:i4>5</vt:i4>
      </vt:variant>
      <vt:variant>
        <vt:lpwstr>https://economie.fgov.be/nl/themas/ondernemingen/kmos-en-zelfstandigen-cijfers</vt:lpwstr>
      </vt:variant>
      <vt:variant>
        <vt:lpwstr/>
      </vt:variant>
      <vt:variant>
        <vt:i4>262173</vt:i4>
      </vt:variant>
      <vt:variant>
        <vt:i4>951</vt:i4>
      </vt:variant>
      <vt:variant>
        <vt:i4>0</vt:i4>
      </vt:variant>
      <vt:variant>
        <vt:i4>5</vt:i4>
      </vt:variant>
      <vt:variant>
        <vt:lpwstr>https://bosa.belgium.be/nl/themas/overheids-opdrachten/federaal-aankoopbeleid/gemeenschappelijke-overeenkomsten/overzicht</vt:lpwstr>
      </vt:variant>
      <vt:variant>
        <vt:lpwstr/>
      </vt:variant>
      <vt:variant>
        <vt:i4>7733375</vt:i4>
      </vt:variant>
      <vt:variant>
        <vt:i4>948</vt:i4>
      </vt:variant>
      <vt:variant>
        <vt:i4>0</vt:i4>
      </vt:variant>
      <vt:variant>
        <vt:i4>5</vt:i4>
      </vt:variant>
      <vt:variant>
        <vt:lpwstr>https://bosa.belgium.be/nl/themas/overheids-opdrachten/opleidingen/geaccrediteerde-opleiders-opleidingsorganisaties-en</vt:lpwstr>
      </vt:variant>
      <vt:variant>
        <vt:lpwstr/>
      </vt:variant>
      <vt:variant>
        <vt:i4>917518</vt:i4>
      </vt:variant>
      <vt:variant>
        <vt:i4>945</vt:i4>
      </vt:variant>
      <vt:variant>
        <vt:i4>0</vt:i4>
      </vt:variant>
      <vt:variant>
        <vt:i4>5</vt:i4>
      </vt:variant>
      <vt:variant>
        <vt:lpwstr>https://bosa.belgium.be/nl/themas/overheids-opdrachten/opleidingen/de-verschillende-types-opleidingen</vt:lpwstr>
      </vt:variant>
      <vt:variant>
        <vt:lpwstr/>
      </vt:variant>
      <vt:variant>
        <vt:i4>2752589</vt:i4>
      </vt:variant>
      <vt:variant>
        <vt:i4>942</vt:i4>
      </vt:variant>
      <vt:variant>
        <vt:i4>0</vt:i4>
      </vt:variant>
      <vt:variant>
        <vt:i4>5</vt:i4>
      </vt:variant>
      <vt:variant>
        <vt:lpwstr>https://www.ejustice.just.fgov.be/mopdf/2022/10/03_1.pdf</vt:lpwstr>
      </vt:variant>
      <vt:variant>
        <vt:lpwstr>Page144</vt:lpwstr>
      </vt:variant>
      <vt:variant>
        <vt:i4>2752589</vt:i4>
      </vt:variant>
      <vt:variant>
        <vt:i4>939</vt:i4>
      </vt:variant>
      <vt:variant>
        <vt:i4>0</vt:i4>
      </vt:variant>
      <vt:variant>
        <vt:i4>5</vt:i4>
      </vt:variant>
      <vt:variant>
        <vt:lpwstr>https://www.ejustice.just.fgov.be/mopdf/2022/10/03_1.pdf</vt:lpwstr>
      </vt:variant>
      <vt:variant>
        <vt:lpwstr>Page144</vt:lpwstr>
      </vt:variant>
      <vt:variant>
        <vt:i4>65552</vt:i4>
      </vt:variant>
      <vt:variant>
        <vt:i4>936</vt:i4>
      </vt:variant>
      <vt:variant>
        <vt:i4>0</vt:i4>
      </vt:variant>
      <vt:variant>
        <vt:i4>5</vt:i4>
      </vt:variant>
      <vt:variant>
        <vt:lpwstr>http://www.ejustice.just.fgov.be/eli/wet/2016/06/17/2016021053/justel</vt:lpwstr>
      </vt:variant>
      <vt:variant>
        <vt:lpwstr/>
      </vt:variant>
      <vt:variant>
        <vt:i4>3080312</vt:i4>
      </vt:variant>
      <vt:variant>
        <vt:i4>933</vt:i4>
      </vt:variant>
      <vt:variant>
        <vt:i4>0</vt:i4>
      </vt:variant>
      <vt:variant>
        <vt:i4>5</vt:i4>
      </vt:variant>
      <vt:variant>
        <vt:lpwstr>https://bosa.belgium.be/nl/themas/overheids-opdrachten/marktkenniscentrum/overheidsopdrachten-van-beperkte-waarde-klassieke</vt:lpwstr>
      </vt:variant>
      <vt:variant>
        <vt:lpwstr/>
      </vt:variant>
      <vt:variant>
        <vt:i4>1507345</vt:i4>
      </vt:variant>
      <vt:variant>
        <vt:i4>930</vt:i4>
      </vt:variant>
      <vt:variant>
        <vt:i4>0</vt:i4>
      </vt:variant>
      <vt:variant>
        <vt:i4>5</vt:i4>
      </vt:variant>
      <vt:variant>
        <vt:lpwstr>http://www.ejustice.just.fgov.be/eli/besluit/2023/07/21/2023044347/justel</vt:lpwstr>
      </vt:variant>
      <vt:variant>
        <vt:lpwstr/>
      </vt:variant>
      <vt:variant>
        <vt:i4>2752589</vt:i4>
      </vt:variant>
      <vt:variant>
        <vt:i4>927</vt:i4>
      </vt:variant>
      <vt:variant>
        <vt:i4>0</vt:i4>
      </vt:variant>
      <vt:variant>
        <vt:i4>5</vt:i4>
      </vt:variant>
      <vt:variant>
        <vt:lpwstr>https://www.ejustice.just.fgov.be/mopdf/2022/10/03_1.pdf</vt:lpwstr>
      </vt:variant>
      <vt:variant>
        <vt:lpwstr>Page144</vt:lpwstr>
      </vt:variant>
      <vt:variant>
        <vt:i4>589849</vt:i4>
      </vt:variant>
      <vt:variant>
        <vt:i4>924</vt:i4>
      </vt:variant>
      <vt:variant>
        <vt:i4>0</vt:i4>
      </vt:variant>
      <vt:variant>
        <vt:i4>5</vt:i4>
      </vt:variant>
      <vt:variant>
        <vt:lpwstr>http://www.ejustice.just.fgov.be/eli/wet/2023/02/08/2023200862/justel</vt:lpwstr>
      </vt:variant>
      <vt:variant>
        <vt:lpwstr/>
      </vt:variant>
      <vt:variant>
        <vt:i4>6881400</vt:i4>
      </vt:variant>
      <vt:variant>
        <vt:i4>921</vt:i4>
      </vt:variant>
      <vt:variant>
        <vt:i4>0</vt:i4>
      </vt:variant>
      <vt:variant>
        <vt:i4>5</vt:i4>
      </vt:variant>
      <vt:variant>
        <vt:lpwstr>https://www.ejustice.just.fgov.be/eli/besluit/2017/04/18/2017020322/justel</vt:lpwstr>
      </vt:variant>
      <vt:variant>
        <vt:lpwstr/>
      </vt:variant>
      <vt:variant>
        <vt:i4>1441814</vt:i4>
      </vt:variant>
      <vt:variant>
        <vt:i4>918</vt:i4>
      </vt:variant>
      <vt:variant>
        <vt:i4>0</vt:i4>
      </vt:variant>
      <vt:variant>
        <vt:i4>5</vt:i4>
      </vt:variant>
      <vt:variant>
        <vt:lpwstr>http://www.ejustice.just.fgov.be/eli/besluit/2013/01/14/2013021005/justel</vt:lpwstr>
      </vt:variant>
      <vt:variant>
        <vt:lpwstr/>
      </vt:variant>
      <vt:variant>
        <vt:i4>720938</vt:i4>
      </vt:variant>
      <vt:variant>
        <vt:i4>915</vt:i4>
      </vt:variant>
      <vt:variant>
        <vt:i4>0</vt:i4>
      </vt:variant>
      <vt:variant>
        <vt:i4>5</vt:i4>
      </vt:variant>
      <vt:variant>
        <vt:lpwstr>https://www.ejustice.just.fgov.be/cgi_loi/change_lg.pl?cn=2016061719&amp;la=N&amp;language=nl&amp;table_name=wet</vt:lpwstr>
      </vt:variant>
      <vt:variant>
        <vt:lpwstr/>
      </vt:variant>
      <vt:variant>
        <vt:i4>4849749</vt:i4>
      </vt:variant>
      <vt:variant>
        <vt:i4>912</vt:i4>
      </vt:variant>
      <vt:variant>
        <vt:i4>0</vt:i4>
      </vt:variant>
      <vt:variant>
        <vt:i4>5</vt:i4>
      </vt:variant>
      <vt:variant>
        <vt:lpwstr>https://bosa.belgium.be/nl/themas/overheids-opdrachten/templates</vt:lpwstr>
      </vt:variant>
      <vt:variant>
        <vt:lpwstr/>
      </vt:variant>
      <vt:variant>
        <vt:i4>4849749</vt:i4>
      </vt:variant>
      <vt:variant>
        <vt:i4>909</vt:i4>
      </vt:variant>
      <vt:variant>
        <vt:i4>0</vt:i4>
      </vt:variant>
      <vt:variant>
        <vt:i4>5</vt:i4>
      </vt:variant>
      <vt:variant>
        <vt:lpwstr>https://bosa.belgium.be/nl/themas/overheids-opdrachten/templates</vt:lpwstr>
      </vt:variant>
      <vt:variant>
        <vt:lpwstr/>
      </vt:variant>
      <vt:variant>
        <vt:i4>4390999</vt:i4>
      </vt:variant>
      <vt:variant>
        <vt:i4>906</vt:i4>
      </vt:variant>
      <vt:variant>
        <vt:i4>0</vt:i4>
      </vt:variant>
      <vt:variant>
        <vt:i4>5</vt:i4>
      </vt:variant>
      <vt:variant>
        <vt:lpwstr>https://bosa.belgium.be/sites/default/files/documents/2013_06_17_loi_recours_wet_verhaal_vers_2022docx Loi 17 juin 2013 - version coordonn%C3%A9e au 1er janvier 2022.pdf</vt:lpwstr>
      </vt:variant>
      <vt:variant>
        <vt:lpwstr/>
      </vt:variant>
      <vt:variant>
        <vt:i4>65552</vt:i4>
      </vt:variant>
      <vt:variant>
        <vt:i4>903</vt:i4>
      </vt:variant>
      <vt:variant>
        <vt:i4>0</vt:i4>
      </vt:variant>
      <vt:variant>
        <vt:i4>5</vt:i4>
      </vt:variant>
      <vt:variant>
        <vt:lpwstr>http://www.ejustice.just.fgov.be/eli/wet/2016/06/17/2016021053/justel</vt:lpwstr>
      </vt:variant>
      <vt:variant>
        <vt:lpwstr/>
      </vt:variant>
      <vt:variant>
        <vt:i4>2097276</vt:i4>
      </vt:variant>
      <vt:variant>
        <vt:i4>900</vt:i4>
      </vt:variant>
      <vt:variant>
        <vt:i4>0</vt:i4>
      </vt:variant>
      <vt:variant>
        <vt:i4>5</vt:i4>
      </vt:variant>
      <vt:variant>
        <vt:lpwstr>https://gidsvoorduurzameaankopen.be/nl</vt:lpwstr>
      </vt:variant>
      <vt:variant>
        <vt:lpwstr/>
      </vt:variant>
      <vt:variant>
        <vt:i4>2752544</vt:i4>
      </vt:variant>
      <vt:variant>
        <vt:i4>897</vt:i4>
      </vt:variant>
      <vt:variant>
        <vt:i4>0</vt:i4>
      </vt:variant>
      <vt:variant>
        <vt:i4>5</vt:i4>
      </vt:variant>
      <vt:variant>
        <vt:lpwstr>https://www.siod.belgie.be/sites/default/files/Downloads/Sociale dumping/sociale_dumping_gids_en_charter.pdf</vt:lpwstr>
      </vt:variant>
      <vt:variant>
        <vt:lpwstr/>
      </vt:variant>
      <vt:variant>
        <vt:i4>1245213</vt:i4>
      </vt:variant>
      <vt:variant>
        <vt:i4>894</vt:i4>
      </vt:variant>
      <vt:variant>
        <vt:i4>0</vt:i4>
      </vt:variant>
      <vt:variant>
        <vt:i4>5</vt:i4>
      </vt:variant>
      <vt:variant>
        <vt:lpwstr>http://www.ejustice.just.fgov.be/eli/besluit/2017/04/18/2017020322/justel</vt:lpwstr>
      </vt:variant>
      <vt:variant>
        <vt:lpwstr/>
      </vt:variant>
      <vt:variant>
        <vt:i4>65552</vt:i4>
      </vt:variant>
      <vt:variant>
        <vt:i4>891</vt:i4>
      </vt:variant>
      <vt:variant>
        <vt:i4>0</vt:i4>
      </vt:variant>
      <vt:variant>
        <vt:i4>5</vt:i4>
      </vt:variant>
      <vt:variant>
        <vt:lpwstr>http://www.ejustice.just.fgov.be/eli/wet/2016/06/17/2016021053/justel</vt:lpwstr>
      </vt:variant>
      <vt:variant>
        <vt:lpwstr/>
      </vt:variant>
      <vt:variant>
        <vt:i4>75</vt:i4>
      </vt:variant>
      <vt:variant>
        <vt:i4>888</vt:i4>
      </vt:variant>
      <vt:variant>
        <vt:i4>0</vt:i4>
      </vt:variant>
      <vt:variant>
        <vt:i4>5</vt:i4>
      </vt:variant>
      <vt:variant>
        <vt:lpwstr>https://bosa.belgium.be/nl/themas/overheids-opdrachten/marktkenniscentrum/prijsherziening-bij-overheidsopdrachten</vt:lpwstr>
      </vt:variant>
      <vt:variant>
        <vt:lpwstr/>
      </vt:variant>
      <vt:variant>
        <vt:i4>1966080</vt:i4>
      </vt:variant>
      <vt:variant>
        <vt:i4>885</vt:i4>
      </vt:variant>
      <vt:variant>
        <vt:i4>0</vt:i4>
      </vt:variant>
      <vt:variant>
        <vt:i4>5</vt:i4>
      </vt:variant>
      <vt:variant>
        <vt:lpwstr>https://economie.fgov.be/nl/themas/ondernemingen/specifieke-sectoren/bouw/erkenning-van-aannemers</vt:lpwstr>
      </vt:variant>
      <vt:variant>
        <vt:lpwstr/>
      </vt:variant>
      <vt:variant>
        <vt:i4>1245213</vt:i4>
      </vt:variant>
      <vt:variant>
        <vt:i4>882</vt:i4>
      </vt:variant>
      <vt:variant>
        <vt:i4>0</vt:i4>
      </vt:variant>
      <vt:variant>
        <vt:i4>5</vt:i4>
      </vt:variant>
      <vt:variant>
        <vt:lpwstr>http://www.ejustice.just.fgov.be/eli/besluit/2017/04/18/2017020322/justel</vt:lpwstr>
      </vt:variant>
      <vt:variant>
        <vt:lpwstr/>
      </vt:variant>
      <vt:variant>
        <vt:i4>1441814</vt:i4>
      </vt:variant>
      <vt:variant>
        <vt:i4>879</vt:i4>
      </vt:variant>
      <vt:variant>
        <vt:i4>0</vt:i4>
      </vt:variant>
      <vt:variant>
        <vt:i4>5</vt:i4>
      </vt:variant>
      <vt:variant>
        <vt:lpwstr>http://www.ejustice.just.fgov.be/eli/besluit/2013/01/14/2013021005/justel</vt:lpwstr>
      </vt:variant>
      <vt:variant>
        <vt:lpwstr/>
      </vt:variant>
      <vt:variant>
        <vt:i4>1769492</vt:i4>
      </vt:variant>
      <vt:variant>
        <vt:i4>876</vt:i4>
      </vt:variant>
      <vt:variant>
        <vt:i4>0</vt:i4>
      </vt:variant>
      <vt:variant>
        <vt:i4>5</vt:i4>
      </vt:variant>
      <vt:variant>
        <vt:lpwstr>http://www.ejustice.just.fgov.be/eli/besluit/2023/09/04/2023045155/justel</vt:lpwstr>
      </vt:variant>
      <vt:variant>
        <vt:lpwstr/>
      </vt:variant>
      <vt:variant>
        <vt:i4>1245213</vt:i4>
      </vt:variant>
      <vt:variant>
        <vt:i4>873</vt:i4>
      </vt:variant>
      <vt:variant>
        <vt:i4>0</vt:i4>
      </vt:variant>
      <vt:variant>
        <vt:i4>5</vt:i4>
      </vt:variant>
      <vt:variant>
        <vt:lpwstr>http://www.ejustice.just.fgov.be/eli/besluit/2017/04/18/2017020322/justel</vt:lpwstr>
      </vt:variant>
      <vt:variant>
        <vt:lpwstr/>
      </vt:variant>
      <vt:variant>
        <vt:i4>65552</vt:i4>
      </vt:variant>
      <vt:variant>
        <vt:i4>870</vt:i4>
      </vt:variant>
      <vt:variant>
        <vt:i4>0</vt:i4>
      </vt:variant>
      <vt:variant>
        <vt:i4>5</vt:i4>
      </vt:variant>
      <vt:variant>
        <vt:lpwstr>http://www.ejustice.just.fgov.be/eli/wet/2016/06/17/2016021053/justel</vt:lpwstr>
      </vt:variant>
      <vt:variant>
        <vt:lpwstr/>
      </vt:variant>
      <vt:variant>
        <vt:i4>65552</vt:i4>
      </vt:variant>
      <vt:variant>
        <vt:i4>867</vt:i4>
      </vt:variant>
      <vt:variant>
        <vt:i4>0</vt:i4>
      </vt:variant>
      <vt:variant>
        <vt:i4>5</vt:i4>
      </vt:variant>
      <vt:variant>
        <vt:lpwstr>http://www.ejustice.just.fgov.be/eli/wet/2016/06/17/2016021053/justel</vt:lpwstr>
      </vt:variant>
      <vt:variant>
        <vt:lpwstr/>
      </vt:variant>
      <vt:variant>
        <vt:i4>327772</vt:i4>
      </vt:variant>
      <vt:variant>
        <vt:i4>864</vt:i4>
      </vt:variant>
      <vt:variant>
        <vt:i4>0</vt:i4>
      </vt:variant>
      <vt:variant>
        <vt:i4>5</vt:i4>
      </vt:variant>
      <vt:variant>
        <vt:lpwstr>https://www.ejustice.just.fgov.be/eli/besluit/2022/05/20/2022041447/justel</vt:lpwstr>
      </vt:variant>
      <vt:variant>
        <vt:lpwstr>Art.19</vt:lpwstr>
      </vt:variant>
      <vt:variant>
        <vt:i4>1245213</vt:i4>
      </vt:variant>
      <vt:variant>
        <vt:i4>861</vt:i4>
      </vt:variant>
      <vt:variant>
        <vt:i4>0</vt:i4>
      </vt:variant>
      <vt:variant>
        <vt:i4>5</vt:i4>
      </vt:variant>
      <vt:variant>
        <vt:lpwstr>http://www.ejustice.just.fgov.be/eli/besluit/2017/04/18/2017020322/justel</vt:lpwstr>
      </vt:variant>
      <vt:variant>
        <vt:lpwstr/>
      </vt:variant>
      <vt:variant>
        <vt:i4>65552</vt:i4>
      </vt:variant>
      <vt:variant>
        <vt:i4>858</vt:i4>
      </vt:variant>
      <vt:variant>
        <vt:i4>0</vt:i4>
      </vt:variant>
      <vt:variant>
        <vt:i4>5</vt:i4>
      </vt:variant>
      <vt:variant>
        <vt:lpwstr>http://www.ejustice.just.fgov.be/eli/wet/2016/06/17/2016021053/justel</vt:lpwstr>
      </vt:variant>
      <vt:variant>
        <vt:lpwstr/>
      </vt:variant>
      <vt:variant>
        <vt:i4>7405615</vt:i4>
      </vt:variant>
      <vt:variant>
        <vt:i4>855</vt:i4>
      </vt:variant>
      <vt:variant>
        <vt:i4>0</vt:i4>
      </vt:variant>
      <vt:variant>
        <vt:i4>5</vt:i4>
      </vt:variant>
      <vt:variant>
        <vt:lpwstr>https://eur-lex.europa.eu/legal-content/NL/ALL/?uri=CELEX%3A52021XC0706%2803%29</vt:lpwstr>
      </vt:variant>
      <vt:variant>
        <vt:lpwstr/>
      </vt:variant>
      <vt:variant>
        <vt:i4>1245213</vt:i4>
      </vt:variant>
      <vt:variant>
        <vt:i4>852</vt:i4>
      </vt:variant>
      <vt:variant>
        <vt:i4>0</vt:i4>
      </vt:variant>
      <vt:variant>
        <vt:i4>5</vt:i4>
      </vt:variant>
      <vt:variant>
        <vt:lpwstr>http://www.ejustice.just.fgov.be/eli/besluit/2017/04/18/2017020322/justel</vt:lpwstr>
      </vt:variant>
      <vt:variant>
        <vt:lpwstr/>
      </vt:variant>
      <vt:variant>
        <vt:i4>65552</vt:i4>
      </vt:variant>
      <vt:variant>
        <vt:i4>849</vt:i4>
      </vt:variant>
      <vt:variant>
        <vt:i4>0</vt:i4>
      </vt:variant>
      <vt:variant>
        <vt:i4>5</vt:i4>
      </vt:variant>
      <vt:variant>
        <vt:lpwstr>http://www.ejustice.just.fgov.be/eli/wet/2016/06/17/2016021053/justel</vt:lpwstr>
      </vt:variant>
      <vt:variant>
        <vt:lpwstr/>
      </vt:variant>
      <vt:variant>
        <vt:i4>1441814</vt:i4>
      </vt:variant>
      <vt:variant>
        <vt:i4>846</vt:i4>
      </vt:variant>
      <vt:variant>
        <vt:i4>0</vt:i4>
      </vt:variant>
      <vt:variant>
        <vt:i4>5</vt:i4>
      </vt:variant>
      <vt:variant>
        <vt:lpwstr>http://www.ejustice.just.fgov.be/eli/besluit/2013/01/14/2013021005/justel</vt:lpwstr>
      </vt:variant>
      <vt:variant>
        <vt:lpwstr/>
      </vt:variant>
      <vt:variant>
        <vt:i4>65552</vt:i4>
      </vt:variant>
      <vt:variant>
        <vt:i4>843</vt:i4>
      </vt:variant>
      <vt:variant>
        <vt:i4>0</vt:i4>
      </vt:variant>
      <vt:variant>
        <vt:i4>5</vt:i4>
      </vt:variant>
      <vt:variant>
        <vt:lpwstr>http://www.ejustice.just.fgov.be/eli/wet/2016/06/17/2016021053/justel</vt:lpwstr>
      </vt:variant>
      <vt:variant>
        <vt:lpwstr/>
      </vt:variant>
      <vt:variant>
        <vt:i4>7405615</vt:i4>
      </vt:variant>
      <vt:variant>
        <vt:i4>840</vt:i4>
      </vt:variant>
      <vt:variant>
        <vt:i4>0</vt:i4>
      </vt:variant>
      <vt:variant>
        <vt:i4>5</vt:i4>
      </vt:variant>
      <vt:variant>
        <vt:lpwstr>https://eur-lex.europa.eu/legal-content/NL/ALL/?uri=CELEX%3A52021XC0706%2803%29</vt:lpwstr>
      </vt:variant>
      <vt:variant>
        <vt:lpwstr/>
      </vt:variant>
      <vt:variant>
        <vt:i4>65552</vt:i4>
      </vt:variant>
      <vt:variant>
        <vt:i4>837</vt:i4>
      </vt:variant>
      <vt:variant>
        <vt:i4>0</vt:i4>
      </vt:variant>
      <vt:variant>
        <vt:i4>5</vt:i4>
      </vt:variant>
      <vt:variant>
        <vt:lpwstr>http://www.ejustice.just.fgov.be/eli/wet/2016/06/17/2016021053/justel</vt:lpwstr>
      </vt:variant>
      <vt:variant>
        <vt:lpwstr/>
      </vt:variant>
      <vt:variant>
        <vt:i4>2687094</vt:i4>
      </vt:variant>
      <vt:variant>
        <vt:i4>834</vt:i4>
      </vt:variant>
      <vt:variant>
        <vt:i4>0</vt:i4>
      </vt:variant>
      <vt:variant>
        <vt:i4>5</vt:i4>
      </vt:variant>
      <vt:variant>
        <vt:lpwstr>https://www.bimportal.be/nl/standaard-taken-lijst-stl/</vt:lpwstr>
      </vt:variant>
      <vt:variant>
        <vt:lpwstr/>
      </vt:variant>
      <vt:variant>
        <vt:i4>5701637</vt:i4>
      </vt:variant>
      <vt:variant>
        <vt:i4>831</vt:i4>
      </vt:variant>
      <vt:variant>
        <vt:i4>0</vt:i4>
      </vt:variant>
      <vt:variant>
        <vt:i4>5</vt:i4>
      </vt:variant>
      <vt:variant>
        <vt:lpwstr>https://bosa.service-now.com/eprocurement?id=kb_article_view&amp;sys_kb_id=12c571811bc9b1143ff06421b24bcbf7</vt:lpwstr>
      </vt:variant>
      <vt:variant>
        <vt:lpwstr/>
      </vt:variant>
      <vt:variant>
        <vt:i4>458831</vt:i4>
      </vt:variant>
      <vt:variant>
        <vt:i4>828</vt:i4>
      </vt:variant>
      <vt:variant>
        <vt:i4>0</vt:i4>
      </vt:variant>
      <vt:variant>
        <vt:i4>5</vt:i4>
      </vt:variant>
      <vt:variant>
        <vt:lpwstr>https://www.ejustice.just.fgov.be/eli/besluit/2017/04/18/2017020322/justel</vt:lpwstr>
      </vt:variant>
      <vt:variant>
        <vt:lpwstr>LNK0009</vt:lpwstr>
      </vt:variant>
      <vt:variant>
        <vt:i4>1245213</vt:i4>
      </vt:variant>
      <vt:variant>
        <vt:i4>825</vt:i4>
      </vt:variant>
      <vt:variant>
        <vt:i4>0</vt:i4>
      </vt:variant>
      <vt:variant>
        <vt:i4>5</vt:i4>
      </vt:variant>
      <vt:variant>
        <vt:lpwstr>http://www.ejustice.just.fgov.be/eli/besluit/2017/04/18/2017020322/justel</vt:lpwstr>
      </vt:variant>
      <vt:variant>
        <vt:lpwstr/>
      </vt:variant>
      <vt:variant>
        <vt:i4>2687094</vt:i4>
      </vt:variant>
      <vt:variant>
        <vt:i4>822</vt:i4>
      </vt:variant>
      <vt:variant>
        <vt:i4>0</vt:i4>
      </vt:variant>
      <vt:variant>
        <vt:i4>5</vt:i4>
      </vt:variant>
      <vt:variant>
        <vt:lpwstr>https://www.bimportal.be/nl/standaard-taken-lijst-stl/</vt:lpwstr>
      </vt:variant>
      <vt:variant>
        <vt:lpwstr/>
      </vt:variant>
      <vt:variant>
        <vt:i4>7798808</vt:i4>
      </vt:variant>
      <vt:variant>
        <vt:i4>819</vt:i4>
      </vt:variant>
      <vt:variant>
        <vt:i4>0</vt:i4>
      </vt:variant>
      <vt:variant>
        <vt:i4>5</vt:i4>
      </vt:variant>
      <vt:variant>
        <vt:lpwstr>https://bosa.belgium.be/sites/default/files/documents/praktische_fiche_marktconsultatie_.pdf</vt:lpwstr>
      </vt:variant>
      <vt:variant>
        <vt:lpwstr/>
      </vt:variant>
      <vt:variant>
        <vt:i4>2949217</vt:i4>
      </vt:variant>
      <vt:variant>
        <vt:i4>816</vt:i4>
      </vt:variant>
      <vt:variant>
        <vt:i4>0</vt:i4>
      </vt:variant>
      <vt:variant>
        <vt:i4>5</vt:i4>
      </vt:variant>
      <vt:variant>
        <vt:lpwstr>https://www.nidolab.be/nido/nl/</vt:lpwstr>
      </vt:variant>
      <vt:variant>
        <vt:lpwstr/>
      </vt:variant>
      <vt:variant>
        <vt:i4>7798808</vt:i4>
      </vt:variant>
      <vt:variant>
        <vt:i4>813</vt:i4>
      </vt:variant>
      <vt:variant>
        <vt:i4>0</vt:i4>
      </vt:variant>
      <vt:variant>
        <vt:i4>5</vt:i4>
      </vt:variant>
      <vt:variant>
        <vt:lpwstr>https://bosa.belgium.be/sites/default/files/documents/praktische_fiche_marktconsultatie_.pdf</vt:lpwstr>
      </vt:variant>
      <vt:variant>
        <vt:lpwstr/>
      </vt:variant>
      <vt:variant>
        <vt:i4>65552</vt:i4>
      </vt:variant>
      <vt:variant>
        <vt:i4>810</vt:i4>
      </vt:variant>
      <vt:variant>
        <vt:i4>0</vt:i4>
      </vt:variant>
      <vt:variant>
        <vt:i4>5</vt:i4>
      </vt:variant>
      <vt:variant>
        <vt:lpwstr>http://www.ejustice.just.fgov.be/eli/wet/2016/06/17/2016021053/justel</vt:lpwstr>
      </vt:variant>
      <vt:variant>
        <vt:lpwstr/>
      </vt:variant>
      <vt:variant>
        <vt:i4>5963807</vt:i4>
      </vt:variant>
      <vt:variant>
        <vt:i4>807</vt:i4>
      </vt:variant>
      <vt:variant>
        <vt:i4>0</vt:i4>
      </vt:variant>
      <vt:variant>
        <vt:i4>5</vt:i4>
      </vt:variant>
      <vt:variant>
        <vt:lpwstr>https://bosa.belgium.be/nl/nieuwsbrieven</vt:lpwstr>
      </vt:variant>
      <vt:variant>
        <vt:lpwstr/>
      </vt:variant>
      <vt:variant>
        <vt:i4>2490483</vt:i4>
      </vt:variant>
      <vt:variant>
        <vt:i4>804</vt:i4>
      </vt:variant>
      <vt:variant>
        <vt:i4>0</vt:i4>
      </vt:variant>
      <vt:variant>
        <vt:i4>5</vt:i4>
      </vt:variant>
      <vt:variant>
        <vt:lpwstr>https://bosa.belgium.be/nl/applications/uniform-europees-aanbestedingsdocument-uea</vt:lpwstr>
      </vt:variant>
      <vt:variant>
        <vt:lpwstr/>
      </vt:variant>
      <vt:variant>
        <vt:i4>131165</vt:i4>
      </vt:variant>
      <vt:variant>
        <vt:i4>801</vt:i4>
      </vt:variant>
      <vt:variant>
        <vt:i4>0</vt:i4>
      </vt:variant>
      <vt:variant>
        <vt:i4>5</vt:i4>
      </vt:variant>
      <vt:variant>
        <vt:lpwstr>https://www.ejustice.just.fgov.be/eli/wet/2016/06/17/2016021053/justel</vt:lpwstr>
      </vt:variant>
      <vt:variant>
        <vt:lpwstr>LNK0089</vt:lpwstr>
      </vt:variant>
      <vt:variant>
        <vt:i4>393295</vt:i4>
      </vt:variant>
      <vt:variant>
        <vt:i4>798</vt:i4>
      </vt:variant>
      <vt:variant>
        <vt:i4>0</vt:i4>
      </vt:variant>
      <vt:variant>
        <vt:i4>5</vt:i4>
      </vt:variant>
      <vt:variant>
        <vt:lpwstr>https://www.ejustice.just.fgov.be/eli/besluit/2017/04/18/2017020322/justel</vt:lpwstr>
      </vt:variant>
      <vt:variant>
        <vt:lpwstr>LNK0019</vt:lpwstr>
      </vt:variant>
      <vt:variant>
        <vt:i4>8192097</vt:i4>
      </vt:variant>
      <vt:variant>
        <vt:i4>795</vt:i4>
      </vt:variant>
      <vt:variant>
        <vt:i4>0</vt:i4>
      </vt:variant>
      <vt:variant>
        <vt:i4>5</vt:i4>
      </vt:variant>
      <vt:variant>
        <vt:lpwstr>https://bosa.belgium.be/nl/applications/ecertis</vt:lpwstr>
      </vt:variant>
      <vt:variant>
        <vt:lpwstr/>
      </vt:variant>
      <vt:variant>
        <vt:i4>458781</vt:i4>
      </vt:variant>
      <vt:variant>
        <vt:i4>792</vt:i4>
      </vt:variant>
      <vt:variant>
        <vt:i4>0</vt:i4>
      </vt:variant>
      <vt:variant>
        <vt:i4>5</vt:i4>
      </vt:variant>
      <vt:variant>
        <vt:lpwstr>http://www.ejustice.just.fgov.be/eli/wet/2014/05/05/2014203384/justel</vt:lpwstr>
      </vt:variant>
      <vt:variant>
        <vt:lpwstr/>
      </vt:variant>
      <vt:variant>
        <vt:i4>458770</vt:i4>
      </vt:variant>
      <vt:variant>
        <vt:i4>789</vt:i4>
      </vt:variant>
      <vt:variant>
        <vt:i4>0</vt:i4>
      </vt:variant>
      <vt:variant>
        <vt:i4>5</vt:i4>
      </vt:variant>
      <vt:variant>
        <vt:lpwstr>https://bosa.belgium.be/nl/applications/telemarc</vt:lpwstr>
      </vt:variant>
      <vt:variant>
        <vt:lpwstr/>
      </vt:variant>
      <vt:variant>
        <vt:i4>73</vt:i4>
      </vt:variant>
      <vt:variant>
        <vt:i4>786</vt:i4>
      </vt:variant>
      <vt:variant>
        <vt:i4>0</vt:i4>
      </vt:variant>
      <vt:variant>
        <vt:i4>5</vt:i4>
      </vt:variant>
      <vt:variant>
        <vt:lpwstr>https://bosa.service-now.com/eprocurement</vt:lpwstr>
      </vt:variant>
      <vt:variant>
        <vt:lpwstr/>
      </vt:variant>
      <vt:variant>
        <vt:i4>7864363</vt:i4>
      </vt:variant>
      <vt:variant>
        <vt:i4>783</vt:i4>
      </vt:variant>
      <vt:variant>
        <vt:i4>0</vt:i4>
      </vt:variant>
      <vt:variant>
        <vt:i4>5</vt:i4>
      </vt:variant>
      <vt:variant>
        <vt:lpwstr>https://bosa.belgium.be/nl/themas/overheids-opdrachten/hoe-een-elektronische-factuur-opmaken-ontvangen-en-faciliteren/hoe-0</vt:lpwstr>
      </vt:variant>
      <vt:variant>
        <vt:lpwstr/>
      </vt:variant>
      <vt:variant>
        <vt:i4>1638464</vt:i4>
      </vt:variant>
      <vt:variant>
        <vt:i4>780</vt:i4>
      </vt:variant>
      <vt:variant>
        <vt:i4>0</vt:i4>
      </vt:variant>
      <vt:variant>
        <vt:i4>5</vt:i4>
      </vt:variant>
      <vt:variant>
        <vt:lpwstr>https://bosa.belgium.be/nl/themas/overheids-opdrachten/een-elektronische-factuur-opmaken-ontvangen-en-mogelijk-maken</vt:lpwstr>
      </vt:variant>
      <vt:variant>
        <vt:lpwstr/>
      </vt:variant>
      <vt:variant>
        <vt:i4>655442</vt:i4>
      </vt:variant>
      <vt:variant>
        <vt:i4>777</vt:i4>
      </vt:variant>
      <vt:variant>
        <vt:i4>0</vt:i4>
      </vt:variant>
      <vt:variant>
        <vt:i4>5</vt:i4>
      </vt:variant>
      <vt:variant>
        <vt:lpwstr>https://bosa.belgium.be/nl/news/het-staatsblad-koninklijk-besluit-borgtocht-en-elektronische-facturering</vt:lpwstr>
      </vt:variant>
      <vt:variant>
        <vt:lpwstr/>
      </vt:variant>
      <vt:variant>
        <vt:i4>7536684</vt:i4>
      </vt:variant>
      <vt:variant>
        <vt:i4>774</vt:i4>
      </vt:variant>
      <vt:variant>
        <vt:i4>0</vt:i4>
      </vt:variant>
      <vt:variant>
        <vt:i4>5</vt:i4>
      </vt:variant>
      <vt:variant>
        <vt:lpwstr>https://bosa.belgium.be/nl/themas/overheids-opdrachten/enkele-basisbegrippen/wat-een-elektronische-factuur</vt:lpwstr>
      </vt:variant>
      <vt:variant>
        <vt:lpwstr/>
      </vt:variant>
      <vt:variant>
        <vt:i4>7078010</vt:i4>
      </vt:variant>
      <vt:variant>
        <vt:i4>771</vt:i4>
      </vt:variant>
      <vt:variant>
        <vt:i4>0</vt:i4>
      </vt:variant>
      <vt:variant>
        <vt:i4>5</vt:i4>
      </vt:variant>
      <vt:variant>
        <vt:lpwstr>https://www.ejustice.just.fgov.be/eli/besluit/2022/03/09/2022020506/justel</vt:lpwstr>
      </vt:variant>
      <vt:variant>
        <vt:lpwstr/>
      </vt:variant>
      <vt:variant>
        <vt:i4>3735587</vt:i4>
      </vt:variant>
      <vt:variant>
        <vt:i4>768</vt:i4>
      </vt:variant>
      <vt:variant>
        <vt:i4>0</vt:i4>
      </vt:variant>
      <vt:variant>
        <vt:i4>5</vt:i4>
      </vt:variant>
      <vt:variant>
        <vt:lpwstr>https://bosa.belgium.be/nl/themas/overheids-opdrachten/applicaties/nieuw-e-procurement-platform</vt:lpwstr>
      </vt:variant>
      <vt:variant>
        <vt:lpwstr/>
      </vt:variant>
      <vt:variant>
        <vt:i4>6619193</vt:i4>
      </vt:variant>
      <vt:variant>
        <vt:i4>765</vt:i4>
      </vt:variant>
      <vt:variant>
        <vt:i4>0</vt:i4>
      </vt:variant>
      <vt:variant>
        <vt:i4>5</vt:i4>
      </vt:variant>
      <vt:variant>
        <vt:lpwstr>https://bosa.belgium.be/nl/themas/overheids-opdrachten/applicaties/e-procurement-link-naar-de-verschillende-applicaties</vt:lpwstr>
      </vt:variant>
      <vt:variant>
        <vt:lpwstr/>
      </vt:variant>
      <vt:variant>
        <vt:i4>1114136</vt:i4>
      </vt:variant>
      <vt:variant>
        <vt:i4>762</vt:i4>
      </vt:variant>
      <vt:variant>
        <vt:i4>0</vt:i4>
      </vt:variant>
      <vt:variant>
        <vt:i4>5</vt:i4>
      </vt:variant>
      <vt:variant>
        <vt:lpwstr>http://www.ejustice.just.fgov.be/eli/besluit/2022/03/09/2022020506/justel</vt:lpwstr>
      </vt:variant>
      <vt:variant>
        <vt:lpwstr/>
      </vt:variant>
      <vt:variant>
        <vt:i4>131083</vt:i4>
      </vt:variant>
      <vt:variant>
        <vt:i4>759</vt:i4>
      </vt:variant>
      <vt:variant>
        <vt:i4>0</vt:i4>
      </vt:variant>
      <vt:variant>
        <vt:i4>5</vt:i4>
      </vt:variant>
      <vt:variant>
        <vt:lpwstr>https://bosa.belgium.be/nl/themas/overheids-opdrachten/federaal-aankoopbeleid/strategisch-federaal-aankoopoverleg</vt:lpwstr>
      </vt:variant>
      <vt:variant>
        <vt:lpwstr/>
      </vt:variant>
      <vt:variant>
        <vt:i4>393305</vt:i4>
      </vt:variant>
      <vt:variant>
        <vt:i4>756</vt:i4>
      </vt:variant>
      <vt:variant>
        <vt:i4>0</vt:i4>
      </vt:variant>
      <vt:variant>
        <vt:i4>5</vt:i4>
      </vt:variant>
      <vt:variant>
        <vt:lpwstr>https://bosa.belgium.be/nl/themas/overheids-opdrachten/federaal-aankoopbeleid</vt:lpwstr>
      </vt:variant>
      <vt:variant>
        <vt:lpwstr/>
      </vt:variant>
      <vt:variant>
        <vt:i4>65552</vt:i4>
      </vt:variant>
      <vt:variant>
        <vt:i4>753</vt:i4>
      </vt:variant>
      <vt:variant>
        <vt:i4>0</vt:i4>
      </vt:variant>
      <vt:variant>
        <vt:i4>5</vt:i4>
      </vt:variant>
      <vt:variant>
        <vt:lpwstr>http://www.ejustice.just.fgov.be/eli/wet/2016/06/17/2016021053/justel</vt:lpwstr>
      </vt:variant>
      <vt:variant>
        <vt:lpwstr/>
      </vt:variant>
      <vt:variant>
        <vt:i4>1507345</vt:i4>
      </vt:variant>
      <vt:variant>
        <vt:i4>750</vt:i4>
      </vt:variant>
      <vt:variant>
        <vt:i4>0</vt:i4>
      </vt:variant>
      <vt:variant>
        <vt:i4>5</vt:i4>
      </vt:variant>
      <vt:variant>
        <vt:lpwstr>http://www.ejustice.just.fgov.be/eli/besluit/2023/07/21/2023044347/justel</vt:lpwstr>
      </vt:variant>
      <vt:variant>
        <vt:lpwstr/>
      </vt:variant>
      <vt:variant>
        <vt:i4>1507345</vt:i4>
      </vt:variant>
      <vt:variant>
        <vt:i4>747</vt:i4>
      </vt:variant>
      <vt:variant>
        <vt:i4>0</vt:i4>
      </vt:variant>
      <vt:variant>
        <vt:i4>5</vt:i4>
      </vt:variant>
      <vt:variant>
        <vt:lpwstr>http://www.ejustice.just.fgov.be/eli/besluit/2023/07/21/2023044347/justel</vt:lpwstr>
      </vt:variant>
      <vt:variant>
        <vt:lpwstr/>
      </vt:variant>
      <vt:variant>
        <vt:i4>720938</vt:i4>
      </vt:variant>
      <vt:variant>
        <vt:i4>744</vt:i4>
      </vt:variant>
      <vt:variant>
        <vt:i4>0</vt:i4>
      </vt:variant>
      <vt:variant>
        <vt:i4>5</vt:i4>
      </vt:variant>
      <vt:variant>
        <vt:lpwstr>https://www.ejustice.just.fgov.be/cgi_loi/change_lg.pl?cn=2016061719&amp;la=N&amp;language=nl&amp;table_name=wet</vt:lpwstr>
      </vt:variant>
      <vt:variant>
        <vt:lpwstr/>
      </vt:variant>
      <vt:variant>
        <vt:i4>1507345</vt:i4>
      </vt:variant>
      <vt:variant>
        <vt:i4>741</vt:i4>
      </vt:variant>
      <vt:variant>
        <vt:i4>0</vt:i4>
      </vt:variant>
      <vt:variant>
        <vt:i4>5</vt:i4>
      </vt:variant>
      <vt:variant>
        <vt:lpwstr>http://www.ejustice.just.fgov.be/eli/besluit/2023/07/21/2023044347/justel</vt:lpwstr>
      </vt:variant>
      <vt:variant>
        <vt:lpwstr/>
      </vt:variant>
      <vt:variant>
        <vt:i4>1179667</vt:i4>
      </vt:variant>
      <vt:variant>
        <vt:i4>738</vt:i4>
      </vt:variant>
      <vt:variant>
        <vt:i4>0</vt:i4>
      </vt:variant>
      <vt:variant>
        <vt:i4>5</vt:i4>
      </vt:variant>
      <vt:variant>
        <vt:lpwstr>http://www.ejustice.just.fgov.be/eli/besluit/2013/04/03/2013021025/justel</vt:lpwstr>
      </vt:variant>
      <vt:variant>
        <vt:lpwstr/>
      </vt:variant>
      <vt:variant>
        <vt:i4>4063280</vt:i4>
      </vt:variant>
      <vt:variant>
        <vt:i4>735</vt:i4>
      </vt:variant>
      <vt:variant>
        <vt:i4>0</vt:i4>
      </vt:variant>
      <vt:variant>
        <vt:i4>5</vt:i4>
      </vt:variant>
      <vt:variant>
        <vt:lpwstr>https://economie.fgov.be/nl/themas/ondernemingen/een-onderneming-beheren-en/toegang-van-kmos-tot/het-gemeenschappelijke</vt:lpwstr>
      </vt:variant>
      <vt:variant>
        <vt:lpwstr/>
      </vt:variant>
      <vt:variant>
        <vt:i4>1966128</vt:i4>
      </vt:variant>
      <vt:variant>
        <vt:i4>728</vt:i4>
      </vt:variant>
      <vt:variant>
        <vt:i4>0</vt:i4>
      </vt:variant>
      <vt:variant>
        <vt:i4>5</vt:i4>
      </vt:variant>
      <vt:variant>
        <vt:lpwstr/>
      </vt:variant>
      <vt:variant>
        <vt:lpwstr>_Toc150870646</vt:lpwstr>
      </vt:variant>
      <vt:variant>
        <vt:i4>1966128</vt:i4>
      </vt:variant>
      <vt:variant>
        <vt:i4>722</vt:i4>
      </vt:variant>
      <vt:variant>
        <vt:i4>0</vt:i4>
      </vt:variant>
      <vt:variant>
        <vt:i4>5</vt:i4>
      </vt:variant>
      <vt:variant>
        <vt:lpwstr/>
      </vt:variant>
      <vt:variant>
        <vt:lpwstr>_Toc150870645</vt:lpwstr>
      </vt:variant>
      <vt:variant>
        <vt:i4>1966128</vt:i4>
      </vt:variant>
      <vt:variant>
        <vt:i4>716</vt:i4>
      </vt:variant>
      <vt:variant>
        <vt:i4>0</vt:i4>
      </vt:variant>
      <vt:variant>
        <vt:i4>5</vt:i4>
      </vt:variant>
      <vt:variant>
        <vt:lpwstr/>
      </vt:variant>
      <vt:variant>
        <vt:lpwstr>_Toc150870644</vt:lpwstr>
      </vt:variant>
      <vt:variant>
        <vt:i4>1966128</vt:i4>
      </vt:variant>
      <vt:variant>
        <vt:i4>710</vt:i4>
      </vt:variant>
      <vt:variant>
        <vt:i4>0</vt:i4>
      </vt:variant>
      <vt:variant>
        <vt:i4>5</vt:i4>
      </vt:variant>
      <vt:variant>
        <vt:lpwstr/>
      </vt:variant>
      <vt:variant>
        <vt:lpwstr>_Toc150870643</vt:lpwstr>
      </vt:variant>
      <vt:variant>
        <vt:i4>1966128</vt:i4>
      </vt:variant>
      <vt:variant>
        <vt:i4>704</vt:i4>
      </vt:variant>
      <vt:variant>
        <vt:i4>0</vt:i4>
      </vt:variant>
      <vt:variant>
        <vt:i4>5</vt:i4>
      </vt:variant>
      <vt:variant>
        <vt:lpwstr/>
      </vt:variant>
      <vt:variant>
        <vt:lpwstr>_Toc150870642</vt:lpwstr>
      </vt:variant>
      <vt:variant>
        <vt:i4>1966128</vt:i4>
      </vt:variant>
      <vt:variant>
        <vt:i4>698</vt:i4>
      </vt:variant>
      <vt:variant>
        <vt:i4>0</vt:i4>
      </vt:variant>
      <vt:variant>
        <vt:i4>5</vt:i4>
      </vt:variant>
      <vt:variant>
        <vt:lpwstr/>
      </vt:variant>
      <vt:variant>
        <vt:lpwstr>_Toc150870641</vt:lpwstr>
      </vt:variant>
      <vt:variant>
        <vt:i4>1966128</vt:i4>
      </vt:variant>
      <vt:variant>
        <vt:i4>692</vt:i4>
      </vt:variant>
      <vt:variant>
        <vt:i4>0</vt:i4>
      </vt:variant>
      <vt:variant>
        <vt:i4>5</vt:i4>
      </vt:variant>
      <vt:variant>
        <vt:lpwstr/>
      </vt:variant>
      <vt:variant>
        <vt:lpwstr>_Toc150870640</vt:lpwstr>
      </vt:variant>
      <vt:variant>
        <vt:i4>1638448</vt:i4>
      </vt:variant>
      <vt:variant>
        <vt:i4>686</vt:i4>
      </vt:variant>
      <vt:variant>
        <vt:i4>0</vt:i4>
      </vt:variant>
      <vt:variant>
        <vt:i4>5</vt:i4>
      </vt:variant>
      <vt:variant>
        <vt:lpwstr/>
      </vt:variant>
      <vt:variant>
        <vt:lpwstr>_Toc150870639</vt:lpwstr>
      </vt:variant>
      <vt:variant>
        <vt:i4>1638448</vt:i4>
      </vt:variant>
      <vt:variant>
        <vt:i4>680</vt:i4>
      </vt:variant>
      <vt:variant>
        <vt:i4>0</vt:i4>
      </vt:variant>
      <vt:variant>
        <vt:i4>5</vt:i4>
      </vt:variant>
      <vt:variant>
        <vt:lpwstr/>
      </vt:variant>
      <vt:variant>
        <vt:lpwstr>_Toc150870638</vt:lpwstr>
      </vt:variant>
      <vt:variant>
        <vt:i4>1638448</vt:i4>
      </vt:variant>
      <vt:variant>
        <vt:i4>674</vt:i4>
      </vt:variant>
      <vt:variant>
        <vt:i4>0</vt:i4>
      </vt:variant>
      <vt:variant>
        <vt:i4>5</vt:i4>
      </vt:variant>
      <vt:variant>
        <vt:lpwstr/>
      </vt:variant>
      <vt:variant>
        <vt:lpwstr>_Toc150870637</vt:lpwstr>
      </vt:variant>
      <vt:variant>
        <vt:i4>1638448</vt:i4>
      </vt:variant>
      <vt:variant>
        <vt:i4>668</vt:i4>
      </vt:variant>
      <vt:variant>
        <vt:i4>0</vt:i4>
      </vt:variant>
      <vt:variant>
        <vt:i4>5</vt:i4>
      </vt:variant>
      <vt:variant>
        <vt:lpwstr/>
      </vt:variant>
      <vt:variant>
        <vt:lpwstr>_Toc150870636</vt:lpwstr>
      </vt:variant>
      <vt:variant>
        <vt:i4>1638448</vt:i4>
      </vt:variant>
      <vt:variant>
        <vt:i4>662</vt:i4>
      </vt:variant>
      <vt:variant>
        <vt:i4>0</vt:i4>
      </vt:variant>
      <vt:variant>
        <vt:i4>5</vt:i4>
      </vt:variant>
      <vt:variant>
        <vt:lpwstr/>
      </vt:variant>
      <vt:variant>
        <vt:lpwstr>_Toc150870635</vt:lpwstr>
      </vt:variant>
      <vt:variant>
        <vt:i4>1638448</vt:i4>
      </vt:variant>
      <vt:variant>
        <vt:i4>656</vt:i4>
      </vt:variant>
      <vt:variant>
        <vt:i4>0</vt:i4>
      </vt:variant>
      <vt:variant>
        <vt:i4>5</vt:i4>
      </vt:variant>
      <vt:variant>
        <vt:lpwstr/>
      </vt:variant>
      <vt:variant>
        <vt:lpwstr>_Toc150870634</vt:lpwstr>
      </vt:variant>
      <vt:variant>
        <vt:i4>1638448</vt:i4>
      </vt:variant>
      <vt:variant>
        <vt:i4>650</vt:i4>
      </vt:variant>
      <vt:variant>
        <vt:i4>0</vt:i4>
      </vt:variant>
      <vt:variant>
        <vt:i4>5</vt:i4>
      </vt:variant>
      <vt:variant>
        <vt:lpwstr/>
      </vt:variant>
      <vt:variant>
        <vt:lpwstr>_Toc150870633</vt:lpwstr>
      </vt:variant>
      <vt:variant>
        <vt:i4>1638448</vt:i4>
      </vt:variant>
      <vt:variant>
        <vt:i4>644</vt:i4>
      </vt:variant>
      <vt:variant>
        <vt:i4>0</vt:i4>
      </vt:variant>
      <vt:variant>
        <vt:i4>5</vt:i4>
      </vt:variant>
      <vt:variant>
        <vt:lpwstr/>
      </vt:variant>
      <vt:variant>
        <vt:lpwstr>_Toc150870632</vt:lpwstr>
      </vt:variant>
      <vt:variant>
        <vt:i4>1638448</vt:i4>
      </vt:variant>
      <vt:variant>
        <vt:i4>638</vt:i4>
      </vt:variant>
      <vt:variant>
        <vt:i4>0</vt:i4>
      </vt:variant>
      <vt:variant>
        <vt:i4>5</vt:i4>
      </vt:variant>
      <vt:variant>
        <vt:lpwstr/>
      </vt:variant>
      <vt:variant>
        <vt:lpwstr>_Toc150870631</vt:lpwstr>
      </vt:variant>
      <vt:variant>
        <vt:i4>1638448</vt:i4>
      </vt:variant>
      <vt:variant>
        <vt:i4>632</vt:i4>
      </vt:variant>
      <vt:variant>
        <vt:i4>0</vt:i4>
      </vt:variant>
      <vt:variant>
        <vt:i4>5</vt:i4>
      </vt:variant>
      <vt:variant>
        <vt:lpwstr/>
      </vt:variant>
      <vt:variant>
        <vt:lpwstr>_Toc150870630</vt:lpwstr>
      </vt:variant>
      <vt:variant>
        <vt:i4>1572912</vt:i4>
      </vt:variant>
      <vt:variant>
        <vt:i4>626</vt:i4>
      </vt:variant>
      <vt:variant>
        <vt:i4>0</vt:i4>
      </vt:variant>
      <vt:variant>
        <vt:i4>5</vt:i4>
      </vt:variant>
      <vt:variant>
        <vt:lpwstr/>
      </vt:variant>
      <vt:variant>
        <vt:lpwstr>_Toc150870629</vt:lpwstr>
      </vt:variant>
      <vt:variant>
        <vt:i4>1572912</vt:i4>
      </vt:variant>
      <vt:variant>
        <vt:i4>620</vt:i4>
      </vt:variant>
      <vt:variant>
        <vt:i4>0</vt:i4>
      </vt:variant>
      <vt:variant>
        <vt:i4>5</vt:i4>
      </vt:variant>
      <vt:variant>
        <vt:lpwstr/>
      </vt:variant>
      <vt:variant>
        <vt:lpwstr>_Toc150870628</vt:lpwstr>
      </vt:variant>
      <vt:variant>
        <vt:i4>1572912</vt:i4>
      </vt:variant>
      <vt:variant>
        <vt:i4>614</vt:i4>
      </vt:variant>
      <vt:variant>
        <vt:i4>0</vt:i4>
      </vt:variant>
      <vt:variant>
        <vt:i4>5</vt:i4>
      </vt:variant>
      <vt:variant>
        <vt:lpwstr/>
      </vt:variant>
      <vt:variant>
        <vt:lpwstr>_Toc150870627</vt:lpwstr>
      </vt:variant>
      <vt:variant>
        <vt:i4>1572912</vt:i4>
      </vt:variant>
      <vt:variant>
        <vt:i4>608</vt:i4>
      </vt:variant>
      <vt:variant>
        <vt:i4>0</vt:i4>
      </vt:variant>
      <vt:variant>
        <vt:i4>5</vt:i4>
      </vt:variant>
      <vt:variant>
        <vt:lpwstr/>
      </vt:variant>
      <vt:variant>
        <vt:lpwstr>_Toc150870626</vt:lpwstr>
      </vt:variant>
      <vt:variant>
        <vt:i4>1572912</vt:i4>
      </vt:variant>
      <vt:variant>
        <vt:i4>602</vt:i4>
      </vt:variant>
      <vt:variant>
        <vt:i4>0</vt:i4>
      </vt:variant>
      <vt:variant>
        <vt:i4>5</vt:i4>
      </vt:variant>
      <vt:variant>
        <vt:lpwstr/>
      </vt:variant>
      <vt:variant>
        <vt:lpwstr>_Toc150870625</vt:lpwstr>
      </vt:variant>
      <vt:variant>
        <vt:i4>1572912</vt:i4>
      </vt:variant>
      <vt:variant>
        <vt:i4>596</vt:i4>
      </vt:variant>
      <vt:variant>
        <vt:i4>0</vt:i4>
      </vt:variant>
      <vt:variant>
        <vt:i4>5</vt:i4>
      </vt:variant>
      <vt:variant>
        <vt:lpwstr/>
      </vt:variant>
      <vt:variant>
        <vt:lpwstr>_Toc150870624</vt:lpwstr>
      </vt:variant>
      <vt:variant>
        <vt:i4>1572912</vt:i4>
      </vt:variant>
      <vt:variant>
        <vt:i4>590</vt:i4>
      </vt:variant>
      <vt:variant>
        <vt:i4>0</vt:i4>
      </vt:variant>
      <vt:variant>
        <vt:i4>5</vt:i4>
      </vt:variant>
      <vt:variant>
        <vt:lpwstr/>
      </vt:variant>
      <vt:variant>
        <vt:lpwstr>_Toc150870623</vt:lpwstr>
      </vt:variant>
      <vt:variant>
        <vt:i4>1572912</vt:i4>
      </vt:variant>
      <vt:variant>
        <vt:i4>584</vt:i4>
      </vt:variant>
      <vt:variant>
        <vt:i4>0</vt:i4>
      </vt:variant>
      <vt:variant>
        <vt:i4>5</vt:i4>
      </vt:variant>
      <vt:variant>
        <vt:lpwstr/>
      </vt:variant>
      <vt:variant>
        <vt:lpwstr>_Toc150870622</vt:lpwstr>
      </vt:variant>
      <vt:variant>
        <vt:i4>1572912</vt:i4>
      </vt:variant>
      <vt:variant>
        <vt:i4>578</vt:i4>
      </vt:variant>
      <vt:variant>
        <vt:i4>0</vt:i4>
      </vt:variant>
      <vt:variant>
        <vt:i4>5</vt:i4>
      </vt:variant>
      <vt:variant>
        <vt:lpwstr/>
      </vt:variant>
      <vt:variant>
        <vt:lpwstr>_Toc150870621</vt:lpwstr>
      </vt:variant>
      <vt:variant>
        <vt:i4>1572912</vt:i4>
      </vt:variant>
      <vt:variant>
        <vt:i4>572</vt:i4>
      </vt:variant>
      <vt:variant>
        <vt:i4>0</vt:i4>
      </vt:variant>
      <vt:variant>
        <vt:i4>5</vt:i4>
      </vt:variant>
      <vt:variant>
        <vt:lpwstr/>
      </vt:variant>
      <vt:variant>
        <vt:lpwstr>_Toc150870620</vt:lpwstr>
      </vt:variant>
      <vt:variant>
        <vt:i4>1769520</vt:i4>
      </vt:variant>
      <vt:variant>
        <vt:i4>566</vt:i4>
      </vt:variant>
      <vt:variant>
        <vt:i4>0</vt:i4>
      </vt:variant>
      <vt:variant>
        <vt:i4>5</vt:i4>
      </vt:variant>
      <vt:variant>
        <vt:lpwstr/>
      </vt:variant>
      <vt:variant>
        <vt:lpwstr>_Toc150870619</vt:lpwstr>
      </vt:variant>
      <vt:variant>
        <vt:i4>1769520</vt:i4>
      </vt:variant>
      <vt:variant>
        <vt:i4>560</vt:i4>
      </vt:variant>
      <vt:variant>
        <vt:i4>0</vt:i4>
      </vt:variant>
      <vt:variant>
        <vt:i4>5</vt:i4>
      </vt:variant>
      <vt:variant>
        <vt:lpwstr/>
      </vt:variant>
      <vt:variant>
        <vt:lpwstr>_Toc150870618</vt:lpwstr>
      </vt:variant>
      <vt:variant>
        <vt:i4>1769520</vt:i4>
      </vt:variant>
      <vt:variant>
        <vt:i4>554</vt:i4>
      </vt:variant>
      <vt:variant>
        <vt:i4>0</vt:i4>
      </vt:variant>
      <vt:variant>
        <vt:i4>5</vt:i4>
      </vt:variant>
      <vt:variant>
        <vt:lpwstr/>
      </vt:variant>
      <vt:variant>
        <vt:lpwstr>_Toc150870617</vt:lpwstr>
      </vt:variant>
      <vt:variant>
        <vt:i4>1769520</vt:i4>
      </vt:variant>
      <vt:variant>
        <vt:i4>548</vt:i4>
      </vt:variant>
      <vt:variant>
        <vt:i4>0</vt:i4>
      </vt:variant>
      <vt:variant>
        <vt:i4>5</vt:i4>
      </vt:variant>
      <vt:variant>
        <vt:lpwstr/>
      </vt:variant>
      <vt:variant>
        <vt:lpwstr>_Toc150870616</vt:lpwstr>
      </vt:variant>
      <vt:variant>
        <vt:i4>1769520</vt:i4>
      </vt:variant>
      <vt:variant>
        <vt:i4>542</vt:i4>
      </vt:variant>
      <vt:variant>
        <vt:i4>0</vt:i4>
      </vt:variant>
      <vt:variant>
        <vt:i4>5</vt:i4>
      </vt:variant>
      <vt:variant>
        <vt:lpwstr/>
      </vt:variant>
      <vt:variant>
        <vt:lpwstr>_Toc150870615</vt:lpwstr>
      </vt:variant>
      <vt:variant>
        <vt:i4>1769520</vt:i4>
      </vt:variant>
      <vt:variant>
        <vt:i4>536</vt:i4>
      </vt:variant>
      <vt:variant>
        <vt:i4>0</vt:i4>
      </vt:variant>
      <vt:variant>
        <vt:i4>5</vt:i4>
      </vt:variant>
      <vt:variant>
        <vt:lpwstr/>
      </vt:variant>
      <vt:variant>
        <vt:lpwstr>_Toc150870614</vt:lpwstr>
      </vt:variant>
      <vt:variant>
        <vt:i4>1769520</vt:i4>
      </vt:variant>
      <vt:variant>
        <vt:i4>530</vt:i4>
      </vt:variant>
      <vt:variant>
        <vt:i4>0</vt:i4>
      </vt:variant>
      <vt:variant>
        <vt:i4>5</vt:i4>
      </vt:variant>
      <vt:variant>
        <vt:lpwstr/>
      </vt:variant>
      <vt:variant>
        <vt:lpwstr>_Toc150870613</vt:lpwstr>
      </vt:variant>
      <vt:variant>
        <vt:i4>1769520</vt:i4>
      </vt:variant>
      <vt:variant>
        <vt:i4>524</vt:i4>
      </vt:variant>
      <vt:variant>
        <vt:i4>0</vt:i4>
      </vt:variant>
      <vt:variant>
        <vt:i4>5</vt:i4>
      </vt:variant>
      <vt:variant>
        <vt:lpwstr/>
      </vt:variant>
      <vt:variant>
        <vt:lpwstr>_Toc150870612</vt:lpwstr>
      </vt:variant>
      <vt:variant>
        <vt:i4>1769520</vt:i4>
      </vt:variant>
      <vt:variant>
        <vt:i4>518</vt:i4>
      </vt:variant>
      <vt:variant>
        <vt:i4>0</vt:i4>
      </vt:variant>
      <vt:variant>
        <vt:i4>5</vt:i4>
      </vt:variant>
      <vt:variant>
        <vt:lpwstr/>
      </vt:variant>
      <vt:variant>
        <vt:lpwstr>_Toc150870611</vt:lpwstr>
      </vt:variant>
      <vt:variant>
        <vt:i4>1769520</vt:i4>
      </vt:variant>
      <vt:variant>
        <vt:i4>512</vt:i4>
      </vt:variant>
      <vt:variant>
        <vt:i4>0</vt:i4>
      </vt:variant>
      <vt:variant>
        <vt:i4>5</vt:i4>
      </vt:variant>
      <vt:variant>
        <vt:lpwstr/>
      </vt:variant>
      <vt:variant>
        <vt:lpwstr>_Toc150870610</vt:lpwstr>
      </vt:variant>
      <vt:variant>
        <vt:i4>1703984</vt:i4>
      </vt:variant>
      <vt:variant>
        <vt:i4>506</vt:i4>
      </vt:variant>
      <vt:variant>
        <vt:i4>0</vt:i4>
      </vt:variant>
      <vt:variant>
        <vt:i4>5</vt:i4>
      </vt:variant>
      <vt:variant>
        <vt:lpwstr/>
      </vt:variant>
      <vt:variant>
        <vt:lpwstr>_Toc150870609</vt:lpwstr>
      </vt:variant>
      <vt:variant>
        <vt:i4>1703984</vt:i4>
      </vt:variant>
      <vt:variant>
        <vt:i4>500</vt:i4>
      </vt:variant>
      <vt:variant>
        <vt:i4>0</vt:i4>
      </vt:variant>
      <vt:variant>
        <vt:i4>5</vt:i4>
      </vt:variant>
      <vt:variant>
        <vt:lpwstr/>
      </vt:variant>
      <vt:variant>
        <vt:lpwstr>_Toc150870608</vt:lpwstr>
      </vt:variant>
      <vt:variant>
        <vt:i4>1703984</vt:i4>
      </vt:variant>
      <vt:variant>
        <vt:i4>494</vt:i4>
      </vt:variant>
      <vt:variant>
        <vt:i4>0</vt:i4>
      </vt:variant>
      <vt:variant>
        <vt:i4>5</vt:i4>
      </vt:variant>
      <vt:variant>
        <vt:lpwstr/>
      </vt:variant>
      <vt:variant>
        <vt:lpwstr>_Toc150870607</vt:lpwstr>
      </vt:variant>
      <vt:variant>
        <vt:i4>1703984</vt:i4>
      </vt:variant>
      <vt:variant>
        <vt:i4>488</vt:i4>
      </vt:variant>
      <vt:variant>
        <vt:i4>0</vt:i4>
      </vt:variant>
      <vt:variant>
        <vt:i4>5</vt:i4>
      </vt:variant>
      <vt:variant>
        <vt:lpwstr/>
      </vt:variant>
      <vt:variant>
        <vt:lpwstr>_Toc150870606</vt:lpwstr>
      </vt:variant>
      <vt:variant>
        <vt:i4>1703984</vt:i4>
      </vt:variant>
      <vt:variant>
        <vt:i4>482</vt:i4>
      </vt:variant>
      <vt:variant>
        <vt:i4>0</vt:i4>
      </vt:variant>
      <vt:variant>
        <vt:i4>5</vt:i4>
      </vt:variant>
      <vt:variant>
        <vt:lpwstr/>
      </vt:variant>
      <vt:variant>
        <vt:lpwstr>_Toc150870605</vt:lpwstr>
      </vt:variant>
      <vt:variant>
        <vt:i4>1703984</vt:i4>
      </vt:variant>
      <vt:variant>
        <vt:i4>476</vt:i4>
      </vt:variant>
      <vt:variant>
        <vt:i4>0</vt:i4>
      </vt:variant>
      <vt:variant>
        <vt:i4>5</vt:i4>
      </vt:variant>
      <vt:variant>
        <vt:lpwstr/>
      </vt:variant>
      <vt:variant>
        <vt:lpwstr>_Toc150870604</vt:lpwstr>
      </vt:variant>
      <vt:variant>
        <vt:i4>1703984</vt:i4>
      </vt:variant>
      <vt:variant>
        <vt:i4>470</vt:i4>
      </vt:variant>
      <vt:variant>
        <vt:i4>0</vt:i4>
      </vt:variant>
      <vt:variant>
        <vt:i4>5</vt:i4>
      </vt:variant>
      <vt:variant>
        <vt:lpwstr/>
      </vt:variant>
      <vt:variant>
        <vt:lpwstr>_Toc150870603</vt:lpwstr>
      </vt:variant>
      <vt:variant>
        <vt:i4>1703984</vt:i4>
      </vt:variant>
      <vt:variant>
        <vt:i4>464</vt:i4>
      </vt:variant>
      <vt:variant>
        <vt:i4>0</vt:i4>
      </vt:variant>
      <vt:variant>
        <vt:i4>5</vt:i4>
      </vt:variant>
      <vt:variant>
        <vt:lpwstr/>
      </vt:variant>
      <vt:variant>
        <vt:lpwstr>_Toc150870602</vt:lpwstr>
      </vt:variant>
      <vt:variant>
        <vt:i4>1703984</vt:i4>
      </vt:variant>
      <vt:variant>
        <vt:i4>458</vt:i4>
      </vt:variant>
      <vt:variant>
        <vt:i4>0</vt:i4>
      </vt:variant>
      <vt:variant>
        <vt:i4>5</vt:i4>
      </vt:variant>
      <vt:variant>
        <vt:lpwstr/>
      </vt:variant>
      <vt:variant>
        <vt:lpwstr>_Toc150870601</vt:lpwstr>
      </vt:variant>
      <vt:variant>
        <vt:i4>1703984</vt:i4>
      </vt:variant>
      <vt:variant>
        <vt:i4>452</vt:i4>
      </vt:variant>
      <vt:variant>
        <vt:i4>0</vt:i4>
      </vt:variant>
      <vt:variant>
        <vt:i4>5</vt:i4>
      </vt:variant>
      <vt:variant>
        <vt:lpwstr/>
      </vt:variant>
      <vt:variant>
        <vt:lpwstr>_Toc150870600</vt:lpwstr>
      </vt:variant>
      <vt:variant>
        <vt:i4>1245235</vt:i4>
      </vt:variant>
      <vt:variant>
        <vt:i4>446</vt:i4>
      </vt:variant>
      <vt:variant>
        <vt:i4>0</vt:i4>
      </vt:variant>
      <vt:variant>
        <vt:i4>5</vt:i4>
      </vt:variant>
      <vt:variant>
        <vt:lpwstr/>
      </vt:variant>
      <vt:variant>
        <vt:lpwstr>_Toc150870599</vt:lpwstr>
      </vt:variant>
      <vt:variant>
        <vt:i4>1245235</vt:i4>
      </vt:variant>
      <vt:variant>
        <vt:i4>440</vt:i4>
      </vt:variant>
      <vt:variant>
        <vt:i4>0</vt:i4>
      </vt:variant>
      <vt:variant>
        <vt:i4>5</vt:i4>
      </vt:variant>
      <vt:variant>
        <vt:lpwstr/>
      </vt:variant>
      <vt:variant>
        <vt:lpwstr>_Toc150870598</vt:lpwstr>
      </vt:variant>
      <vt:variant>
        <vt:i4>1245235</vt:i4>
      </vt:variant>
      <vt:variant>
        <vt:i4>434</vt:i4>
      </vt:variant>
      <vt:variant>
        <vt:i4>0</vt:i4>
      </vt:variant>
      <vt:variant>
        <vt:i4>5</vt:i4>
      </vt:variant>
      <vt:variant>
        <vt:lpwstr/>
      </vt:variant>
      <vt:variant>
        <vt:lpwstr>_Toc150870597</vt:lpwstr>
      </vt:variant>
      <vt:variant>
        <vt:i4>1245235</vt:i4>
      </vt:variant>
      <vt:variant>
        <vt:i4>428</vt:i4>
      </vt:variant>
      <vt:variant>
        <vt:i4>0</vt:i4>
      </vt:variant>
      <vt:variant>
        <vt:i4>5</vt:i4>
      </vt:variant>
      <vt:variant>
        <vt:lpwstr/>
      </vt:variant>
      <vt:variant>
        <vt:lpwstr>_Toc150870596</vt:lpwstr>
      </vt:variant>
      <vt:variant>
        <vt:i4>1245235</vt:i4>
      </vt:variant>
      <vt:variant>
        <vt:i4>422</vt:i4>
      </vt:variant>
      <vt:variant>
        <vt:i4>0</vt:i4>
      </vt:variant>
      <vt:variant>
        <vt:i4>5</vt:i4>
      </vt:variant>
      <vt:variant>
        <vt:lpwstr/>
      </vt:variant>
      <vt:variant>
        <vt:lpwstr>_Toc150870595</vt:lpwstr>
      </vt:variant>
      <vt:variant>
        <vt:i4>1245235</vt:i4>
      </vt:variant>
      <vt:variant>
        <vt:i4>416</vt:i4>
      </vt:variant>
      <vt:variant>
        <vt:i4>0</vt:i4>
      </vt:variant>
      <vt:variant>
        <vt:i4>5</vt:i4>
      </vt:variant>
      <vt:variant>
        <vt:lpwstr/>
      </vt:variant>
      <vt:variant>
        <vt:lpwstr>_Toc150870594</vt:lpwstr>
      </vt:variant>
      <vt:variant>
        <vt:i4>1245235</vt:i4>
      </vt:variant>
      <vt:variant>
        <vt:i4>410</vt:i4>
      </vt:variant>
      <vt:variant>
        <vt:i4>0</vt:i4>
      </vt:variant>
      <vt:variant>
        <vt:i4>5</vt:i4>
      </vt:variant>
      <vt:variant>
        <vt:lpwstr/>
      </vt:variant>
      <vt:variant>
        <vt:lpwstr>_Toc150870593</vt:lpwstr>
      </vt:variant>
      <vt:variant>
        <vt:i4>1245235</vt:i4>
      </vt:variant>
      <vt:variant>
        <vt:i4>404</vt:i4>
      </vt:variant>
      <vt:variant>
        <vt:i4>0</vt:i4>
      </vt:variant>
      <vt:variant>
        <vt:i4>5</vt:i4>
      </vt:variant>
      <vt:variant>
        <vt:lpwstr/>
      </vt:variant>
      <vt:variant>
        <vt:lpwstr>_Toc150870592</vt:lpwstr>
      </vt:variant>
      <vt:variant>
        <vt:i4>1245235</vt:i4>
      </vt:variant>
      <vt:variant>
        <vt:i4>398</vt:i4>
      </vt:variant>
      <vt:variant>
        <vt:i4>0</vt:i4>
      </vt:variant>
      <vt:variant>
        <vt:i4>5</vt:i4>
      </vt:variant>
      <vt:variant>
        <vt:lpwstr/>
      </vt:variant>
      <vt:variant>
        <vt:lpwstr>_Toc150870591</vt:lpwstr>
      </vt:variant>
      <vt:variant>
        <vt:i4>1245235</vt:i4>
      </vt:variant>
      <vt:variant>
        <vt:i4>392</vt:i4>
      </vt:variant>
      <vt:variant>
        <vt:i4>0</vt:i4>
      </vt:variant>
      <vt:variant>
        <vt:i4>5</vt:i4>
      </vt:variant>
      <vt:variant>
        <vt:lpwstr/>
      </vt:variant>
      <vt:variant>
        <vt:lpwstr>_Toc150870590</vt:lpwstr>
      </vt:variant>
      <vt:variant>
        <vt:i4>1179699</vt:i4>
      </vt:variant>
      <vt:variant>
        <vt:i4>386</vt:i4>
      </vt:variant>
      <vt:variant>
        <vt:i4>0</vt:i4>
      </vt:variant>
      <vt:variant>
        <vt:i4>5</vt:i4>
      </vt:variant>
      <vt:variant>
        <vt:lpwstr/>
      </vt:variant>
      <vt:variant>
        <vt:lpwstr>_Toc150870589</vt:lpwstr>
      </vt:variant>
      <vt:variant>
        <vt:i4>1179699</vt:i4>
      </vt:variant>
      <vt:variant>
        <vt:i4>380</vt:i4>
      </vt:variant>
      <vt:variant>
        <vt:i4>0</vt:i4>
      </vt:variant>
      <vt:variant>
        <vt:i4>5</vt:i4>
      </vt:variant>
      <vt:variant>
        <vt:lpwstr/>
      </vt:variant>
      <vt:variant>
        <vt:lpwstr>_Toc150870588</vt:lpwstr>
      </vt:variant>
      <vt:variant>
        <vt:i4>1179699</vt:i4>
      </vt:variant>
      <vt:variant>
        <vt:i4>374</vt:i4>
      </vt:variant>
      <vt:variant>
        <vt:i4>0</vt:i4>
      </vt:variant>
      <vt:variant>
        <vt:i4>5</vt:i4>
      </vt:variant>
      <vt:variant>
        <vt:lpwstr/>
      </vt:variant>
      <vt:variant>
        <vt:lpwstr>_Toc150870587</vt:lpwstr>
      </vt:variant>
      <vt:variant>
        <vt:i4>1179699</vt:i4>
      </vt:variant>
      <vt:variant>
        <vt:i4>368</vt:i4>
      </vt:variant>
      <vt:variant>
        <vt:i4>0</vt:i4>
      </vt:variant>
      <vt:variant>
        <vt:i4>5</vt:i4>
      </vt:variant>
      <vt:variant>
        <vt:lpwstr/>
      </vt:variant>
      <vt:variant>
        <vt:lpwstr>_Toc150870586</vt:lpwstr>
      </vt:variant>
      <vt:variant>
        <vt:i4>1179699</vt:i4>
      </vt:variant>
      <vt:variant>
        <vt:i4>362</vt:i4>
      </vt:variant>
      <vt:variant>
        <vt:i4>0</vt:i4>
      </vt:variant>
      <vt:variant>
        <vt:i4>5</vt:i4>
      </vt:variant>
      <vt:variant>
        <vt:lpwstr/>
      </vt:variant>
      <vt:variant>
        <vt:lpwstr>_Toc150870585</vt:lpwstr>
      </vt:variant>
      <vt:variant>
        <vt:i4>1179699</vt:i4>
      </vt:variant>
      <vt:variant>
        <vt:i4>356</vt:i4>
      </vt:variant>
      <vt:variant>
        <vt:i4>0</vt:i4>
      </vt:variant>
      <vt:variant>
        <vt:i4>5</vt:i4>
      </vt:variant>
      <vt:variant>
        <vt:lpwstr/>
      </vt:variant>
      <vt:variant>
        <vt:lpwstr>_Toc150870584</vt:lpwstr>
      </vt:variant>
      <vt:variant>
        <vt:i4>1179699</vt:i4>
      </vt:variant>
      <vt:variant>
        <vt:i4>350</vt:i4>
      </vt:variant>
      <vt:variant>
        <vt:i4>0</vt:i4>
      </vt:variant>
      <vt:variant>
        <vt:i4>5</vt:i4>
      </vt:variant>
      <vt:variant>
        <vt:lpwstr/>
      </vt:variant>
      <vt:variant>
        <vt:lpwstr>_Toc150870583</vt:lpwstr>
      </vt:variant>
      <vt:variant>
        <vt:i4>1179699</vt:i4>
      </vt:variant>
      <vt:variant>
        <vt:i4>344</vt:i4>
      </vt:variant>
      <vt:variant>
        <vt:i4>0</vt:i4>
      </vt:variant>
      <vt:variant>
        <vt:i4>5</vt:i4>
      </vt:variant>
      <vt:variant>
        <vt:lpwstr/>
      </vt:variant>
      <vt:variant>
        <vt:lpwstr>_Toc150870582</vt:lpwstr>
      </vt:variant>
      <vt:variant>
        <vt:i4>1179699</vt:i4>
      </vt:variant>
      <vt:variant>
        <vt:i4>338</vt:i4>
      </vt:variant>
      <vt:variant>
        <vt:i4>0</vt:i4>
      </vt:variant>
      <vt:variant>
        <vt:i4>5</vt:i4>
      </vt:variant>
      <vt:variant>
        <vt:lpwstr/>
      </vt:variant>
      <vt:variant>
        <vt:lpwstr>_Toc150870581</vt:lpwstr>
      </vt:variant>
      <vt:variant>
        <vt:i4>1179699</vt:i4>
      </vt:variant>
      <vt:variant>
        <vt:i4>332</vt:i4>
      </vt:variant>
      <vt:variant>
        <vt:i4>0</vt:i4>
      </vt:variant>
      <vt:variant>
        <vt:i4>5</vt:i4>
      </vt:variant>
      <vt:variant>
        <vt:lpwstr/>
      </vt:variant>
      <vt:variant>
        <vt:lpwstr>_Toc150870580</vt:lpwstr>
      </vt:variant>
      <vt:variant>
        <vt:i4>1900595</vt:i4>
      </vt:variant>
      <vt:variant>
        <vt:i4>326</vt:i4>
      </vt:variant>
      <vt:variant>
        <vt:i4>0</vt:i4>
      </vt:variant>
      <vt:variant>
        <vt:i4>5</vt:i4>
      </vt:variant>
      <vt:variant>
        <vt:lpwstr/>
      </vt:variant>
      <vt:variant>
        <vt:lpwstr>_Toc150870579</vt:lpwstr>
      </vt:variant>
      <vt:variant>
        <vt:i4>1900595</vt:i4>
      </vt:variant>
      <vt:variant>
        <vt:i4>320</vt:i4>
      </vt:variant>
      <vt:variant>
        <vt:i4>0</vt:i4>
      </vt:variant>
      <vt:variant>
        <vt:i4>5</vt:i4>
      </vt:variant>
      <vt:variant>
        <vt:lpwstr/>
      </vt:variant>
      <vt:variant>
        <vt:lpwstr>_Toc150870578</vt:lpwstr>
      </vt:variant>
      <vt:variant>
        <vt:i4>1900595</vt:i4>
      </vt:variant>
      <vt:variant>
        <vt:i4>314</vt:i4>
      </vt:variant>
      <vt:variant>
        <vt:i4>0</vt:i4>
      </vt:variant>
      <vt:variant>
        <vt:i4>5</vt:i4>
      </vt:variant>
      <vt:variant>
        <vt:lpwstr/>
      </vt:variant>
      <vt:variant>
        <vt:lpwstr>_Toc150870577</vt:lpwstr>
      </vt:variant>
      <vt:variant>
        <vt:i4>1900595</vt:i4>
      </vt:variant>
      <vt:variant>
        <vt:i4>308</vt:i4>
      </vt:variant>
      <vt:variant>
        <vt:i4>0</vt:i4>
      </vt:variant>
      <vt:variant>
        <vt:i4>5</vt:i4>
      </vt:variant>
      <vt:variant>
        <vt:lpwstr/>
      </vt:variant>
      <vt:variant>
        <vt:lpwstr>_Toc150870576</vt:lpwstr>
      </vt:variant>
      <vt:variant>
        <vt:i4>1900595</vt:i4>
      </vt:variant>
      <vt:variant>
        <vt:i4>302</vt:i4>
      </vt:variant>
      <vt:variant>
        <vt:i4>0</vt:i4>
      </vt:variant>
      <vt:variant>
        <vt:i4>5</vt:i4>
      </vt:variant>
      <vt:variant>
        <vt:lpwstr/>
      </vt:variant>
      <vt:variant>
        <vt:lpwstr>_Toc150870575</vt:lpwstr>
      </vt:variant>
      <vt:variant>
        <vt:i4>1900595</vt:i4>
      </vt:variant>
      <vt:variant>
        <vt:i4>296</vt:i4>
      </vt:variant>
      <vt:variant>
        <vt:i4>0</vt:i4>
      </vt:variant>
      <vt:variant>
        <vt:i4>5</vt:i4>
      </vt:variant>
      <vt:variant>
        <vt:lpwstr/>
      </vt:variant>
      <vt:variant>
        <vt:lpwstr>_Toc150870574</vt:lpwstr>
      </vt:variant>
      <vt:variant>
        <vt:i4>1900595</vt:i4>
      </vt:variant>
      <vt:variant>
        <vt:i4>290</vt:i4>
      </vt:variant>
      <vt:variant>
        <vt:i4>0</vt:i4>
      </vt:variant>
      <vt:variant>
        <vt:i4>5</vt:i4>
      </vt:variant>
      <vt:variant>
        <vt:lpwstr/>
      </vt:variant>
      <vt:variant>
        <vt:lpwstr>_Toc150870573</vt:lpwstr>
      </vt:variant>
      <vt:variant>
        <vt:i4>1900595</vt:i4>
      </vt:variant>
      <vt:variant>
        <vt:i4>284</vt:i4>
      </vt:variant>
      <vt:variant>
        <vt:i4>0</vt:i4>
      </vt:variant>
      <vt:variant>
        <vt:i4>5</vt:i4>
      </vt:variant>
      <vt:variant>
        <vt:lpwstr/>
      </vt:variant>
      <vt:variant>
        <vt:lpwstr>_Toc150870572</vt:lpwstr>
      </vt:variant>
      <vt:variant>
        <vt:i4>1900595</vt:i4>
      </vt:variant>
      <vt:variant>
        <vt:i4>278</vt:i4>
      </vt:variant>
      <vt:variant>
        <vt:i4>0</vt:i4>
      </vt:variant>
      <vt:variant>
        <vt:i4>5</vt:i4>
      </vt:variant>
      <vt:variant>
        <vt:lpwstr/>
      </vt:variant>
      <vt:variant>
        <vt:lpwstr>_Toc150870571</vt:lpwstr>
      </vt:variant>
      <vt:variant>
        <vt:i4>1900595</vt:i4>
      </vt:variant>
      <vt:variant>
        <vt:i4>272</vt:i4>
      </vt:variant>
      <vt:variant>
        <vt:i4>0</vt:i4>
      </vt:variant>
      <vt:variant>
        <vt:i4>5</vt:i4>
      </vt:variant>
      <vt:variant>
        <vt:lpwstr/>
      </vt:variant>
      <vt:variant>
        <vt:lpwstr>_Toc150870570</vt:lpwstr>
      </vt:variant>
      <vt:variant>
        <vt:i4>1835059</vt:i4>
      </vt:variant>
      <vt:variant>
        <vt:i4>266</vt:i4>
      </vt:variant>
      <vt:variant>
        <vt:i4>0</vt:i4>
      </vt:variant>
      <vt:variant>
        <vt:i4>5</vt:i4>
      </vt:variant>
      <vt:variant>
        <vt:lpwstr/>
      </vt:variant>
      <vt:variant>
        <vt:lpwstr>_Toc150870569</vt:lpwstr>
      </vt:variant>
      <vt:variant>
        <vt:i4>1835059</vt:i4>
      </vt:variant>
      <vt:variant>
        <vt:i4>260</vt:i4>
      </vt:variant>
      <vt:variant>
        <vt:i4>0</vt:i4>
      </vt:variant>
      <vt:variant>
        <vt:i4>5</vt:i4>
      </vt:variant>
      <vt:variant>
        <vt:lpwstr/>
      </vt:variant>
      <vt:variant>
        <vt:lpwstr>_Toc150870568</vt:lpwstr>
      </vt:variant>
      <vt:variant>
        <vt:i4>1835059</vt:i4>
      </vt:variant>
      <vt:variant>
        <vt:i4>254</vt:i4>
      </vt:variant>
      <vt:variant>
        <vt:i4>0</vt:i4>
      </vt:variant>
      <vt:variant>
        <vt:i4>5</vt:i4>
      </vt:variant>
      <vt:variant>
        <vt:lpwstr/>
      </vt:variant>
      <vt:variant>
        <vt:lpwstr>_Toc150870567</vt:lpwstr>
      </vt:variant>
      <vt:variant>
        <vt:i4>1835059</vt:i4>
      </vt:variant>
      <vt:variant>
        <vt:i4>248</vt:i4>
      </vt:variant>
      <vt:variant>
        <vt:i4>0</vt:i4>
      </vt:variant>
      <vt:variant>
        <vt:i4>5</vt:i4>
      </vt:variant>
      <vt:variant>
        <vt:lpwstr/>
      </vt:variant>
      <vt:variant>
        <vt:lpwstr>_Toc150870566</vt:lpwstr>
      </vt:variant>
      <vt:variant>
        <vt:i4>1835059</vt:i4>
      </vt:variant>
      <vt:variant>
        <vt:i4>242</vt:i4>
      </vt:variant>
      <vt:variant>
        <vt:i4>0</vt:i4>
      </vt:variant>
      <vt:variant>
        <vt:i4>5</vt:i4>
      </vt:variant>
      <vt:variant>
        <vt:lpwstr/>
      </vt:variant>
      <vt:variant>
        <vt:lpwstr>_Toc150870565</vt:lpwstr>
      </vt:variant>
      <vt:variant>
        <vt:i4>1835059</vt:i4>
      </vt:variant>
      <vt:variant>
        <vt:i4>236</vt:i4>
      </vt:variant>
      <vt:variant>
        <vt:i4>0</vt:i4>
      </vt:variant>
      <vt:variant>
        <vt:i4>5</vt:i4>
      </vt:variant>
      <vt:variant>
        <vt:lpwstr/>
      </vt:variant>
      <vt:variant>
        <vt:lpwstr>_Toc150870564</vt:lpwstr>
      </vt:variant>
      <vt:variant>
        <vt:i4>1835059</vt:i4>
      </vt:variant>
      <vt:variant>
        <vt:i4>230</vt:i4>
      </vt:variant>
      <vt:variant>
        <vt:i4>0</vt:i4>
      </vt:variant>
      <vt:variant>
        <vt:i4>5</vt:i4>
      </vt:variant>
      <vt:variant>
        <vt:lpwstr/>
      </vt:variant>
      <vt:variant>
        <vt:lpwstr>_Toc150870563</vt:lpwstr>
      </vt:variant>
      <vt:variant>
        <vt:i4>1835059</vt:i4>
      </vt:variant>
      <vt:variant>
        <vt:i4>224</vt:i4>
      </vt:variant>
      <vt:variant>
        <vt:i4>0</vt:i4>
      </vt:variant>
      <vt:variant>
        <vt:i4>5</vt:i4>
      </vt:variant>
      <vt:variant>
        <vt:lpwstr/>
      </vt:variant>
      <vt:variant>
        <vt:lpwstr>_Toc150870562</vt:lpwstr>
      </vt:variant>
      <vt:variant>
        <vt:i4>1835059</vt:i4>
      </vt:variant>
      <vt:variant>
        <vt:i4>218</vt:i4>
      </vt:variant>
      <vt:variant>
        <vt:i4>0</vt:i4>
      </vt:variant>
      <vt:variant>
        <vt:i4>5</vt:i4>
      </vt:variant>
      <vt:variant>
        <vt:lpwstr/>
      </vt:variant>
      <vt:variant>
        <vt:lpwstr>_Toc150870561</vt:lpwstr>
      </vt:variant>
      <vt:variant>
        <vt:i4>1835059</vt:i4>
      </vt:variant>
      <vt:variant>
        <vt:i4>212</vt:i4>
      </vt:variant>
      <vt:variant>
        <vt:i4>0</vt:i4>
      </vt:variant>
      <vt:variant>
        <vt:i4>5</vt:i4>
      </vt:variant>
      <vt:variant>
        <vt:lpwstr/>
      </vt:variant>
      <vt:variant>
        <vt:lpwstr>_Toc150870560</vt:lpwstr>
      </vt:variant>
      <vt:variant>
        <vt:i4>2031667</vt:i4>
      </vt:variant>
      <vt:variant>
        <vt:i4>206</vt:i4>
      </vt:variant>
      <vt:variant>
        <vt:i4>0</vt:i4>
      </vt:variant>
      <vt:variant>
        <vt:i4>5</vt:i4>
      </vt:variant>
      <vt:variant>
        <vt:lpwstr/>
      </vt:variant>
      <vt:variant>
        <vt:lpwstr>_Toc150870559</vt:lpwstr>
      </vt:variant>
      <vt:variant>
        <vt:i4>2031667</vt:i4>
      </vt:variant>
      <vt:variant>
        <vt:i4>200</vt:i4>
      </vt:variant>
      <vt:variant>
        <vt:i4>0</vt:i4>
      </vt:variant>
      <vt:variant>
        <vt:i4>5</vt:i4>
      </vt:variant>
      <vt:variant>
        <vt:lpwstr/>
      </vt:variant>
      <vt:variant>
        <vt:lpwstr>_Toc150870558</vt:lpwstr>
      </vt:variant>
      <vt:variant>
        <vt:i4>2031667</vt:i4>
      </vt:variant>
      <vt:variant>
        <vt:i4>194</vt:i4>
      </vt:variant>
      <vt:variant>
        <vt:i4>0</vt:i4>
      </vt:variant>
      <vt:variant>
        <vt:i4>5</vt:i4>
      </vt:variant>
      <vt:variant>
        <vt:lpwstr/>
      </vt:variant>
      <vt:variant>
        <vt:lpwstr>_Toc150870557</vt:lpwstr>
      </vt:variant>
      <vt:variant>
        <vt:i4>2031667</vt:i4>
      </vt:variant>
      <vt:variant>
        <vt:i4>188</vt:i4>
      </vt:variant>
      <vt:variant>
        <vt:i4>0</vt:i4>
      </vt:variant>
      <vt:variant>
        <vt:i4>5</vt:i4>
      </vt:variant>
      <vt:variant>
        <vt:lpwstr/>
      </vt:variant>
      <vt:variant>
        <vt:lpwstr>_Toc150870556</vt:lpwstr>
      </vt:variant>
      <vt:variant>
        <vt:i4>2031667</vt:i4>
      </vt:variant>
      <vt:variant>
        <vt:i4>182</vt:i4>
      </vt:variant>
      <vt:variant>
        <vt:i4>0</vt:i4>
      </vt:variant>
      <vt:variant>
        <vt:i4>5</vt:i4>
      </vt:variant>
      <vt:variant>
        <vt:lpwstr/>
      </vt:variant>
      <vt:variant>
        <vt:lpwstr>_Toc150870555</vt:lpwstr>
      </vt:variant>
      <vt:variant>
        <vt:i4>2031667</vt:i4>
      </vt:variant>
      <vt:variant>
        <vt:i4>176</vt:i4>
      </vt:variant>
      <vt:variant>
        <vt:i4>0</vt:i4>
      </vt:variant>
      <vt:variant>
        <vt:i4>5</vt:i4>
      </vt:variant>
      <vt:variant>
        <vt:lpwstr/>
      </vt:variant>
      <vt:variant>
        <vt:lpwstr>_Toc150870554</vt:lpwstr>
      </vt:variant>
      <vt:variant>
        <vt:i4>2031667</vt:i4>
      </vt:variant>
      <vt:variant>
        <vt:i4>170</vt:i4>
      </vt:variant>
      <vt:variant>
        <vt:i4>0</vt:i4>
      </vt:variant>
      <vt:variant>
        <vt:i4>5</vt:i4>
      </vt:variant>
      <vt:variant>
        <vt:lpwstr/>
      </vt:variant>
      <vt:variant>
        <vt:lpwstr>_Toc150870553</vt:lpwstr>
      </vt:variant>
      <vt:variant>
        <vt:i4>2031667</vt:i4>
      </vt:variant>
      <vt:variant>
        <vt:i4>164</vt:i4>
      </vt:variant>
      <vt:variant>
        <vt:i4>0</vt:i4>
      </vt:variant>
      <vt:variant>
        <vt:i4>5</vt:i4>
      </vt:variant>
      <vt:variant>
        <vt:lpwstr/>
      </vt:variant>
      <vt:variant>
        <vt:lpwstr>_Toc150870552</vt:lpwstr>
      </vt:variant>
      <vt:variant>
        <vt:i4>2031667</vt:i4>
      </vt:variant>
      <vt:variant>
        <vt:i4>158</vt:i4>
      </vt:variant>
      <vt:variant>
        <vt:i4>0</vt:i4>
      </vt:variant>
      <vt:variant>
        <vt:i4>5</vt:i4>
      </vt:variant>
      <vt:variant>
        <vt:lpwstr/>
      </vt:variant>
      <vt:variant>
        <vt:lpwstr>_Toc150870551</vt:lpwstr>
      </vt:variant>
      <vt:variant>
        <vt:i4>2031667</vt:i4>
      </vt:variant>
      <vt:variant>
        <vt:i4>152</vt:i4>
      </vt:variant>
      <vt:variant>
        <vt:i4>0</vt:i4>
      </vt:variant>
      <vt:variant>
        <vt:i4>5</vt:i4>
      </vt:variant>
      <vt:variant>
        <vt:lpwstr/>
      </vt:variant>
      <vt:variant>
        <vt:lpwstr>_Toc150870550</vt:lpwstr>
      </vt:variant>
      <vt:variant>
        <vt:i4>1966131</vt:i4>
      </vt:variant>
      <vt:variant>
        <vt:i4>146</vt:i4>
      </vt:variant>
      <vt:variant>
        <vt:i4>0</vt:i4>
      </vt:variant>
      <vt:variant>
        <vt:i4>5</vt:i4>
      </vt:variant>
      <vt:variant>
        <vt:lpwstr/>
      </vt:variant>
      <vt:variant>
        <vt:lpwstr>_Toc150870549</vt:lpwstr>
      </vt:variant>
      <vt:variant>
        <vt:i4>1966131</vt:i4>
      </vt:variant>
      <vt:variant>
        <vt:i4>140</vt:i4>
      </vt:variant>
      <vt:variant>
        <vt:i4>0</vt:i4>
      </vt:variant>
      <vt:variant>
        <vt:i4>5</vt:i4>
      </vt:variant>
      <vt:variant>
        <vt:lpwstr/>
      </vt:variant>
      <vt:variant>
        <vt:lpwstr>_Toc150870548</vt:lpwstr>
      </vt:variant>
      <vt:variant>
        <vt:i4>1966131</vt:i4>
      </vt:variant>
      <vt:variant>
        <vt:i4>134</vt:i4>
      </vt:variant>
      <vt:variant>
        <vt:i4>0</vt:i4>
      </vt:variant>
      <vt:variant>
        <vt:i4>5</vt:i4>
      </vt:variant>
      <vt:variant>
        <vt:lpwstr/>
      </vt:variant>
      <vt:variant>
        <vt:lpwstr>_Toc150870547</vt:lpwstr>
      </vt:variant>
      <vt:variant>
        <vt:i4>1966131</vt:i4>
      </vt:variant>
      <vt:variant>
        <vt:i4>128</vt:i4>
      </vt:variant>
      <vt:variant>
        <vt:i4>0</vt:i4>
      </vt:variant>
      <vt:variant>
        <vt:i4>5</vt:i4>
      </vt:variant>
      <vt:variant>
        <vt:lpwstr/>
      </vt:variant>
      <vt:variant>
        <vt:lpwstr>_Toc150870546</vt:lpwstr>
      </vt:variant>
      <vt:variant>
        <vt:i4>1966131</vt:i4>
      </vt:variant>
      <vt:variant>
        <vt:i4>122</vt:i4>
      </vt:variant>
      <vt:variant>
        <vt:i4>0</vt:i4>
      </vt:variant>
      <vt:variant>
        <vt:i4>5</vt:i4>
      </vt:variant>
      <vt:variant>
        <vt:lpwstr/>
      </vt:variant>
      <vt:variant>
        <vt:lpwstr>_Toc150870545</vt:lpwstr>
      </vt:variant>
      <vt:variant>
        <vt:i4>1966131</vt:i4>
      </vt:variant>
      <vt:variant>
        <vt:i4>116</vt:i4>
      </vt:variant>
      <vt:variant>
        <vt:i4>0</vt:i4>
      </vt:variant>
      <vt:variant>
        <vt:i4>5</vt:i4>
      </vt:variant>
      <vt:variant>
        <vt:lpwstr/>
      </vt:variant>
      <vt:variant>
        <vt:lpwstr>_Toc150870544</vt:lpwstr>
      </vt:variant>
      <vt:variant>
        <vt:i4>1966131</vt:i4>
      </vt:variant>
      <vt:variant>
        <vt:i4>110</vt:i4>
      </vt:variant>
      <vt:variant>
        <vt:i4>0</vt:i4>
      </vt:variant>
      <vt:variant>
        <vt:i4>5</vt:i4>
      </vt:variant>
      <vt:variant>
        <vt:lpwstr/>
      </vt:variant>
      <vt:variant>
        <vt:lpwstr>_Toc150870543</vt:lpwstr>
      </vt:variant>
      <vt:variant>
        <vt:i4>1966131</vt:i4>
      </vt:variant>
      <vt:variant>
        <vt:i4>104</vt:i4>
      </vt:variant>
      <vt:variant>
        <vt:i4>0</vt:i4>
      </vt:variant>
      <vt:variant>
        <vt:i4>5</vt:i4>
      </vt:variant>
      <vt:variant>
        <vt:lpwstr/>
      </vt:variant>
      <vt:variant>
        <vt:lpwstr>_Toc150870542</vt:lpwstr>
      </vt:variant>
      <vt:variant>
        <vt:i4>1966131</vt:i4>
      </vt:variant>
      <vt:variant>
        <vt:i4>98</vt:i4>
      </vt:variant>
      <vt:variant>
        <vt:i4>0</vt:i4>
      </vt:variant>
      <vt:variant>
        <vt:i4>5</vt:i4>
      </vt:variant>
      <vt:variant>
        <vt:lpwstr/>
      </vt:variant>
      <vt:variant>
        <vt:lpwstr>_Toc150870541</vt:lpwstr>
      </vt:variant>
      <vt:variant>
        <vt:i4>1966131</vt:i4>
      </vt:variant>
      <vt:variant>
        <vt:i4>92</vt:i4>
      </vt:variant>
      <vt:variant>
        <vt:i4>0</vt:i4>
      </vt:variant>
      <vt:variant>
        <vt:i4>5</vt:i4>
      </vt:variant>
      <vt:variant>
        <vt:lpwstr/>
      </vt:variant>
      <vt:variant>
        <vt:lpwstr>_Toc150870540</vt:lpwstr>
      </vt:variant>
      <vt:variant>
        <vt:i4>1638451</vt:i4>
      </vt:variant>
      <vt:variant>
        <vt:i4>86</vt:i4>
      </vt:variant>
      <vt:variant>
        <vt:i4>0</vt:i4>
      </vt:variant>
      <vt:variant>
        <vt:i4>5</vt:i4>
      </vt:variant>
      <vt:variant>
        <vt:lpwstr/>
      </vt:variant>
      <vt:variant>
        <vt:lpwstr>_Toc150870539</vt:lpwstr>
      </vt:variant>
      <vt:variant>
        <vt:i4>1638451</vt:i4>
      </vt:variant>
      <vt:variant>
        <vt:i4>80</vt:i4>
      </vt:variant>
      <vt:variant>
        <vt:i4>0</vt:i4>
      </vt:variant>
      <vt:variant>
        <vt:i4>5</vt:i4>
      </vt:variant>
      <vt:variant>
        <vt:lpwstr/>
      </vt:variant>
      <vt:variant>
        <vt:lpwstr>_Toc150870538</vt:lpwstr>
      </vt:variant>
      <vt:variant>
        <vt:i4>1638451</vt:i4>
      </vt:variant>
      <vt:variant>
        <vt:i4>74</vt:i4>
      </vt:variant>
      <vt:variant>
        <vt:i4>0</vt:i4>
      </vt:variant>
      <vt:variant>
        <vt:i4>5</vt:i4>
      </vt:variant>
      <vt:variant>
        <vt:lpwstr/>
      </vt:variant>
      <vt:variant>
        <vt:lpwstr>_Toc150870537</vt:lpwstr>
      </vt:variant>
      <vt:variant>
        <vt:i4>1638451</vt:i4>
      </vt:variant>
      <vt:variant>
        <vt:i4>68</vt:i4>
      </vt:variant>
      <vt:variant>
        <vt:i4>0</vt:i4>
      </vt:variant>
      <vt:variant>
        <vt:i4>5</vt:i4>
      </vt:variant>
      <vt:variant>
        <vt:lpwstr/>
      </vt:variant>
      <vt:variant>
        <vt:lpwstr>_Toc150870536</vt:lpwstr>
      </vt:variant>
      <vt:variant>
        <vt:i4>1638451</vt:i4>
      </vt:variant>
      <vt:variant>
        <vt:i4>62</vt:i4>
      </vt:variant>
      <vt:variant>
        <vt:i4>0</vt:i4>
      </vt:variant>
      <vt:variant>
        <vt:i4>5</vt:i4>
      </vt:variant>
      <vt:variant>
        <vt:lpwstr/>
      </vt:variant>
      <vt:variant>
        <vt:lpwstr>_Toc150870535</vt:lpwstr>
      </vt:variant>
      <vt:variant>
        <vt:i4>1638451</vt:i4>
      </vt:variant>
      <vt:variant>
        <vt:i4>56</vt:i4>
      </vt:variant>
      <vt:variant>
        <vt:i4>0</vt:i4>
      </vt:variant>
      <vt:variant>
        <vt:i4>5</vt:i4>
      </vt:variant>
      <vt:variant>
        <vt:lpwstr/>
      </vt:variant>
      <vt:variant>
        <vt:lpwstr>_Toc150870534</vt:lpwstr>
      </vt:variant>
      <vt:variant>
        <vt:i4>1638451</vt:i4>
      </vt:variant>
      <vt:variant>
        <vt:i4>50</vt:i4>
      </vt:variant>
      <vt:variant>
        <vt:i4>0</vt:i4>
      </vt:variant>
      <vt:variant>
        <vt:i4>5</vt:i4>
      </vt:variant>
      <vt:variant>
        <vt:lpwstr/>
      </vt:variant>
      <vt:variant>
        <vt:lpwstr>_Toc150870533</vt:lpwstr>
      </vt:variant>
      <vt:variant>
        <vt:i4>1638451</vt:i4>
      </vt:variant>
      <vt:variant>
        <vt:i4>44</vt:i4>
      </vt:variant>
      <vt:variant>
        <vt:i4>0</vt:i4>
      </vt:variant>
      <vt:variant>
        <vt:i4>5</vt:i4>
      </vt:variant>
      <vt:variant>
        <vt:lpwstr/>
      </vt:variant>
      <vt:variant>
        <vt:lpwstr>_Toc150870532</vt:lpwstr>
      </vt:variant>
      <vt:variant>
        <vt:i4>1638451</vt:i4>
      </vt:variant>
      <vt:variant>
        <vt:i4>38</vt:i4>
      </vt:variant>
      <vt:variant>
        <vt:i4>0</vt:i4>
      </vt:variant>
      <vt:variant>
        <vt:i4>5</vt:i4>
      </vt:variant>
      <vt:variant>
        <vt:lpwstr/>
      </vt:variant>
      <vt:variant>
        <vt:lpwstr>_Toc150870531</vt:lpwstr>
      </vt:variant>
      <vt:variant>
        <vt:i4>1638451</vt:i4>
      </vt:variant>
      <vt:variant>
        <vt:i4>32</vt:i4>
      </vt:variant>
      <vt:variant>
        <vt:i4>0</vt:i4>
      </vt:variant>
      <vt:variant>
        <vt:i4>5</vt:i4>
      </vt:variant>
      <vt:variant>
        <vt:lpwstr/>
      </vt:variant>
      <vt:variant>
        <vt:lpwstr>_Toc150870530</vt:lpwstr>
      </vt:variant>
      <vt:variant>
        <vt:i4>1572915</vt:i4>
      </vt:variant>
      <vt:variant>
        <vt:i4>26</vt:i4>
      </vt:variant>
      <vt:variant>
        <vt:i4>0</vt:i4>
      </vt:variant>
      <vt:variant>
        <vt:i4>5</vt:i4>
      </vt:variant>
      <vt:variant>
        <vt:lpwstr/>
      </vt:variant>
      <vt:variant>
        <vt:lpwstr>_Toc150870529</vt:lpwstr>
      </vt:variant>
      <vt:variant>
        <vt:i4>1572915</vt:i4>
      </vt:variant>
      <vt:variant>
        <vt:i4>20</vt:i4>
      </vt:variant>
      <vt:variant>
        <vt:i4>0</vt:i4>
      </vt:variant>
      <vt:variant>
        <vt:i4>5</vt:i4>
      </vt:variant>
      <vt:variant>
        <vt:lpwstr/>
      </vt:variant>
      <vt:variant>
        <vt:lpwstr>_Toc150870528</vt:lpwstr>
      </vt:variant>
      <vt:variant>
        <vt:i4>1572915</vt:i4>
      </vt:variant>
      <vt:variant>
        <vt:i4>14</vt:i4>
      </vt:variant>
      <vt:variant>
        <vt:i4>0</vt:i4>
      </vt:variant>
      <vt:variant>
        <vt:i4>5</vt:i4>
      </vt:variant>
      <vt:variant>
        <vt:lpwstr/>
      </vt:variant>
      <vt:variant>
        <vt:lpwstr>_Toc150870527</vt:lpwstr>
      </vt:variant>
      <vt:variant>
        <vt:i4>5570647</vt:i4>
      </vt:variant>
      <vt:variant>
        <vt:i4>9</vt:i4>
      </vt:variant>
      <vt:variant>
        <vt:i4>0</vt:i4>
      </vt:variant>
      <vt:variant>
        <vt:i4>5</vt:i4>
      </vt:variant>
      <vt:variant>
        <vt:lpwstr>\\mineco2000\dfs-eco\S4\0443-Impr-Druk\Projets\004-18 Charte graphique SPF\brochure_word\youtube.com\user\FODEconomie</vt:lpwstr>
      </vt:variant>
      <vt:variant>
        <vt:lpwstr/>
      </vt:variant>
      <vt:variant>
        <vt:i4>7733293</vt:i4>
      </vt:variant>
      <vt:variant>
        <vt:i4>6</vt:i4>
      </vt:variant>
      <vt:variant>
        <vt:i4>0</vt:i4>
      </vt:variant>
      <vt:variant>
        <vt:i4>5</vt:i4>
      </vt:variant>
      <vt:variant>
        <vt:lpwstr>https://www.instagram.com/fodeconomie/</vt:lpwstr>
      </vt:variant>
      <vt:variant>
        <vt:lpwstr/>
      </vt:variant>
      <vt:variant>
        <vt:i4>7995447</vt:i4>
      </vt:variant>
      <vt:variant>
        <vt:i4>3</vt:i4>
      </vt:variant>
      <vt:variant>
        <vt:i4>0</vt:i4>
      </vt:variant>
      <vt:variant>
        <vt:i4>5</vt:i4>
      </vt:variant>
      <vt:variant>
        <vt:lpwstr>https://twitter.com/fodeconomie</vt:lpwstr>
      </vt:variant>
      <vt:variant>
        <vt:lpwstr/>
      </vt:variant>
      <vt:variant>
        <vt:i4>4259909</vt:i4>
      </vt:variant>
      <vt:variant>
        <vt:i4>0</vt:i4>
      </vt:variant>
      <vt:variant>
        <vt:i4>0</vt:i4>
      </vt:variant>
      <vt:variant>
        <vt:i4>5</vt:i4>
      </vt:variant>
      <vt:variant>
        <vt:lpwstr>https://www.facebook.com/FODEconomie</vt:lpwstr>
      </vt:variant>
      <vt:variant>
        <vt:lpwstr/>
      </vt:variant>
      <vt:variant>
        <vt:i4>1048581</vt:i4>
      </vt:variant>
      <vt:variant>
        <vt:i4>24</vt:i4>
      </vt:variant>
      <vt:variant>
        <vt:i4>0</vt:i4>
      </vt:variant>
      <vt:variant>
        <vt:i4>5</vt:i4>
      </vt:variant>
      <vt:variant>
        <vt:lpwstr>https://bosa.belgium.be/nl/themas/overheids-opdrachten/federaal-aankoopbeleid/model-en-doelstellingen</vt:lpwstr>
      </vt:variant>
      <vt:variant>
        <vt:lpwstr/>
      </vt:variant>
      <vt:variant>
        <vt:i4>7209004</vt:i4>
      </vt:variant>
      <vt:variant>
        <vt:i4>21</vt:i4>
      </vt:variant>
      <vt:variant>
        <vt:i4>0</vt:i4>
      </vt:variant>
      <vt:variant>
        <vt:i4>5</vt:i4>
      </vt:variant>
      <vt:variant>
        <vt:lpwstr>https://bosa.belgium.be/nl/themas/overheids-opdrachten/reglementering/toezichtrapporten</vt:lpwstr>
      </vt:variant>
      <vt:variant>
        <vt:lpwstr/>
      </vt:variant>
      <vt:variant>
        <vt:i4>65552</vt:i4>
      </vt:variant>
      <vt:variant>
        <vt:i4>18</vt:i4>
      </vt:variant>
      <vt:variant>
        <vt:i4>0</vt:i4>
      </vt:variant>
      <vt:variant>
        <vt:i4>5</vt:i4>
      </vt:variant>
      <vt:variant>
        <vt:lpwstr>http://www.ejustice.just.fgov.be/eli/wet/2016/06/17/2016021053/justel</vt:lpwstr>
      </vt:variant>
      <vt:variant>
        <vt:lpwstr/>
      </vt:variant>
      <vt:variant>
        <vt:i4>6553676</vt:i4>
      </vt:variant>
      <vt:variant>
        <vt:i4>15</vt:i4>
      </vt:variant>
      <vt:variant>
        <vt:i4>0</vt:i4>
      </vt:variant>
      <vt:variant>
        <vt:i4>5</vt:i4>
      </vt:variant>
      <vt:variant>
        <vt:lpwstr>https://ec.europa.eu/growth/smes/business-friendly-environment/sme-definition_nl</vt:lpwstr>
      </vt:variant>
      <vt:variant>
        <vt:lpwstr/>
      </vt:variant>
      <vt:variant>
        <vt:i4>6619199</vt:i4>
      </vt:variant>
      <vt:variant>
        <vt:i4>12</vt:i4>
      </vt:variant>
      <vt:variant>
        <vt:i4>0</vt:i4>
      </vt:variant>
      <vt:variant>
        <vt:i4>5</vt:i4>
      </vt:variant>
      <vt:variant>
        <vt:lpwstr>https://gidsvoorduurzameaankopen.be/nl/milieu/levenscycluskost</vt:lpwstr>
      </vt:variant>
      <vt:variant>
        <vt:lpwstr/>
      </vt:variant>
      <vt:variant>
        <vt:i4>3735662</vt:i4>
      </vt:variant>
      <vt:variant>
        <vt:i4>9</vt:i4>
      </vt:variant>
      <vt:variant>
        <vt:i4>0</vt:i4>
      </vt:variant>
      <vt:variant>
        <vt:i4>5</vt:i4>
      </vt:variant>
      <vt:variant>
        <vt:lpwstr>https://gidsvoorduurzameaankopen.be/nl/economie/levenscycluskosten-art-82-van-de-wetgeving-van-17-juni-2016</vt:lpwstr>
      </vt:variant>
      <vt:variant>
        <vt:lpwstr/>
      </vt:variant>
      <vt:variant>
        <vt:i4>1966144</vt:i4>
      </vt:variant>
      <vt:variant>
        <vt:i4>6</vt:i4>
      </vt:variant>
      <vt:variant>
        <vt:i4>0</vt:i4>
      </vt:variant>
      <vt:variant>
        <vt:i4>5</vt:i4>
      </vt:variant>
      <vt:variant>
        <vt:lpwstr>https://www.siod.belgie.be/nl/sociale-fraude/sociale-dumping</vt:lpwstr>
      </vt:variant>
      <vt:variant>
        <vt:lpwstr/>
      </vt:variant>
      <vt:variant>
        <vt:i4>65571</vt:i4>
      </vt:variant>
      <vt:variant>
        <vt:i4>3</vt:i4>
      </vt:variant>
      <vt:variant>
        <vt:i4>0</vt:i4>
      </vt:variant>
      <vt:variant>
        <vt:i4>5</vt:i4>
      </vt:variant>
      <vt:variant>
        <vt:lpwstr>https://www.ejustice.just.fgov.be/cgi_loi/change_lg.pl?language=nl&amp;la=N&amp;table_name=wet&amp;cn=2021120804</vt:lpwstr>
      </vt:variant>
      <vt:variant>
        <vt:lpwstr/>
      </vt:variant>
      <vt:variant>
        <vt:i4>851969</vt:i4>
      </vt:variant>
      <vt:variant>
        <vt:i4>0</vt:i4>
      </vt:variant>
      <vt:variant>
        <vt:i4>0</vt:i4>
      </vt:variant>
      <vt:variant>
        <vt:i4>5</vt:i4>
      </vt:variant>
      <vt:variant>
        <vt:lpwstr>https://bosa.belgium.be/nl/themas/overheids-opdrachten/fasen-van-een-opdracht/publicatie/publicatie-van-een-overheidsopdracht</vt:lpwstr>
      </vt:variant>
      <vt:variant>
        <vt:lpwstr>anchor-2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HOCQUET</dc:creator>
  <cp:keywords/>
  <dc:description>version 14.01.2020</dc:description>
  <cp:lastModifiedBy>Thomas Soetaert (FOD Economie - SPF Economie)</cp:lastModifiedBy>
  <cp:revision>6</cp:revision>
  <cp:lastPrinted>2019-09-13T23:13:00Z</cp:lastPrinted>
  <dcterms:created xsi:type="dcterms:W3CDTF">2023-11-24T10:07:00Z</dcterms:created>
  <dcterms:modified xsi:type="dcterms:W3CDTF">2023-11-24T10:23:00Z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0x0101007A128E92D260B34EBA55B0128AF20A58</vt:lpwstr>
  </property>
  <property fmtid="{D5CDD505-2E9C-101B-9397-08002B2CF9AE}" pid="3" name="MediaServiceImageTags">
    <vt:lpwstr/>
  </property>
</Properties>
</file>